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pPr>
      <w:r w:rsidDel="00000000" w:rsidR="00000000" w:rsidRPr="00000000">
        <w:rPr>
          <w:rtl w:val="0"/>
        </w:rPr>
        <w:t xml:space="preserve">Overview</w:t>
      </w:r>
    </w:p>
    <w:p w:rsidR="00000000" w:rsidDel="00000000" w:rsidP="00000000" w:rsidRDefault="00000000" w:rsidRPr="00000000" w14:paraId="00000002">
      <w:pPr>
        <w:rPr/>
      </w:pPr>
      <w:r w:rsidDel="00000000" w:rsidR="00000000" w:rsidRPr="00000000">
        <w:rPr>
          <w:rtl w:val="0"/>
        </w:rPr>
        <w:t xml:space="preserve">Children and Young People with Disability Australia (CYDA) is the national representative organisation for children and young people with disability aged 0 to 25 years. Young people with disability are not accessing education, including university and Vocational Education and Training (VET), on an equal basis to their peers without disability</w:t>
      </w:r>
      <w:r w:rsidDel="00000000" w:rsidR="00000000" w:rsidRPr="00000000">
        <w:rPr>
          <w:vertAlign w:val="superscript"/>
        </w:rPr>
        <w:footnoteReference w:customMarkFollows="0" w:id="0"/>
      </w:r>
      <w:r w:rsidDel="00000000" w:rsidR="00000000" w:rsidRPr="00000000">
        <w:rPr>
          <w:rtl w:val="0"/>
        </w:rPr>
        <w:t xml:space="preserve">. To understand the experiences and perspectives of young people with disability in tertiary education, CYDA hosted two consultations and a one-on-one interview, with a total of 17 participants in September and October 2021. These consultations were co-designed by a working group of young disabled people.</w:t>
      </w:r>
    </w:p>
    <w:p w:rsidR="00000000" w:rsidDel="00000000" w:rsidP="00000000" w:rsidRDefault="00000000" w:rsidRPr="00000000" w14:paraId="00000003">
      <w:pPr>
        <w:pStyle w:val="Heading3"/>
        <w:ind w:left="0" w:firstLine="0"/>
        <w:rPr/>
      </w:pPr>
      <w:bookmarkStart w:colFirst="0" w:colLast="0" w:name="_heading=h.4yxjkuankfg7" w:id="0"/>
      <w:bookmarkEnd w:id="0"/>
      <w:r w:rsidDel="00000000" w:rsidR="00000000" w:rsidRPr="00000000">
        <w:rPr>
          <w:rtl w:val="0"/>
        </w:rPr>
        <w:t xml:space="preserve">What young people said:</w:t>
      </w:r>
    </w:p>
    <w:p w:rsidR="00000000" w:rsidDel="00000000" w:rsidP="00000000" w:rsidRDefault="00000000" w:rsidRPr="00000000" w14:paraId="00000004">
      <w:pPr>
        <w:rPr/>
      </w:pPr>
      <w:r w:rsidDel="00000000" w:rsidR="00000000" w:rsidRPr="00000000">
        <w:rPr>
          <w:rtl w:val="0"/>
        </w:rPr>
        <w:t xml:space="preserve">Discussions with participants, spanning pre-enrolment activities and course selection through to their time in their course, identified significant barriers to engaging in tertiary education. Young people identified issues such as reduced study and course options, lack of meaningful supports, poor attitudes and misconceptions from professional and academic staff, and overall inaccessibility and inflexibility in the tertiary environment as key limitations to their participation.</w:t>
      </w:r>
    </w:p>
    <w:p w:rsidR="00000000" w:rsidDel="00000000" w:rsidP="00000000" w:rsidRDefault="00000000" w:rsidRPr="00000000" w14:paraId="00000005">
      <w:pPr>
        <w:rPr/>
      </w:pPr>
      <w:r w:rsidDel="00000000" w:rsidR="00000000" w:rsidRPr="00000000">
        <w:rPr>
          <w:rtl w:val="0"/>
        </w:rPr>
        <w:t xml:space="preserve">Participants also shared ideas and solutions to improve tertiary education access for their cohort. These included improved accountability systems for education providers, additional education and training for staff and peers, universal design approaches to learning and education, and increased holistic supports for young disabled people.</w:t>
      </w:r>
    </w:p>
    <w:p w:rsidR="00000000" w:rsidDel="00000000" w:rsidP="00000000" w:rsidRDefault="00000000" w:rsidRPr="00000000" w14:paraId="00000006">
      <w:pPr>
        <w:pStyle w:val="Heading2"/>
        <w:keepNext w:val="0"/>
        <w:widowControl w:val="0"/>
        <w:rPr/>
      </w:pPr>
      <w:r w:rsidDel="00000000" w:rsidR="00000000" w:rsidRPr="00000000">
        <w:rPr>
          <w:rtl w:val="0"/>
        </w:rPr>
        <w:t xml:space="preserve">Recommendations</w:t>
      </w:r>
    </w:p>
    <w:p w:rsidR="00000000" w:rsidDel="00000000" w:rsidP="00000000" w:rsidRDefault="00000000" w:rsidRPr="00000000" w14:paraId="00000007">
      <w:pPr>
        <w:pStyle w:val="Heading3"/>
        <w:keepNext w:val="0"/>
        <w:widowControl w:val="0"/>
        <w:numPr>
          <w:ilvl w:val="0"/>
          <w:numId w:val="1"/>
        </w:numPr>
        <w:ind w:left="360" w:hanging="360"/>
        <w:rPr/>
      </w:pPr>
      <w:r w:rsidDel="00000000" w:rsidR="00000000" w:rsidRPr="00000000">
        <w:rPr>
          <w:rtl w:val="0"/>
        </w:rPr>
        <w:t xml:space="preserve">Tertiary institutions must provide adequate holistic supports for students with disability </w:t>
      </w:r>
    </w:p>
    <w:p w:rsidR="00000000" w:rsidDel="00000000" w:rsidP="00000000" w:rsidRDefault="00000000" w:rsidRPr="00000000" w14:paraId="00000008">
      <w:pPr>
        <w:pStyle w:val="Heading3"/>
        <w:keepNext w:val="0"/>
        <w:widowControl w:val="0"/>
        <w:numPr>
          <w:ilvl w:val="0"/>
          <w:numId w:val="1"/>
        </w:numPr>
        <w:ind w:left="360" w:hanging="360"/>
        <w:rPr/>
      </w:pPr>
      <w:r w:rsidDel="00000000" w:rsidR="00000000" w:rsidRPr="00000000">
        <w:rPr>
          <w:rtl w:val="0"/>
        </w:rPr>
        <w:t xml:space="preserve">Tertiary institutions must provide adequate education about disability to staff and students</w:t>
      </w:r>
    </w:p>
    <w:p w:rsidR="00000000" w:rsidDel="00000000" w:rsidP="00000000" w:rsidRDefault="00000000" w:rsidRPr="00000000" w14:paraId="00000009">
      <w:pPr>
        <w:pStyle w:val="Heading3"/>
        <w:keepNext w:val="0"/>
        <w:widowControl w:val="0"/>
        <w:numPr>
          <w:ilvl w:val="0"/>
          <w:numId w:val="1"/>
        </w:numPr>
        <w:ind w:left="360" w:hanging="360"/>
        <w:rPr/>
      </w:pPr>
      <w:r w:rsidDel="00000000" w:rsidR="00000000" w:rsidRPr="00000000">
        <w:rPr>
          <w:rtl w:val="0"/>
        </w:rPr>
        <w:t xml:space="preserve">Tertiary institutions must ensure courses are accessible</w:t>
      </w:r>
    </w:p>
    <w:p w:rsidR="00000000" w:rsidDel="00000000" w:rsidP="00000000" w:rsidRDefault="00000000" w:rsidRPr="00000000" w14:paraId="0000000A">
      <w:pPr>
        <w:pStyle w:val="Heading3"/>
        <w:keepNext w:val="0"/>
        <w:widowControl w:val="0"/>
        <w:numPr>
          <w:ilvl w:val="0"/>
          <w:numId w:val="1"/>
        </w:numPr>
        <w:ind w:left="360" w:hanging="360"/>
        <w:rPr/>
      </w:pPr>
      <w:r w:rsidDel="00000000" w:rsidR="00000000" w:rsidRPr="00000000">
        <w:rPr>
          <w:rtl w:val="0"/>
        </w:rPr>
        <w:t xml:space="preserve">Tertiary institutions must protect the education rights of students with disability</w:t>
      </w:r>
    </w:p>
    <w:p w:rsidR="00000000" w:rsidDel="00000000" w:rsidP="00000000" w:rsidRDefault="00000000" w:rsidRPr="00000000" w14:paraId="0000000B">
      <w:pPr>
        <w:pStyle w:val="Heading3"/>
        <w:keepNext w:val="0"/>
        <w:widowControl w:val="0"/>
        <w:numPr>
          <w:ilvl w:val="0"/>
          <w:numId w:val="1"/>
        </w:numPr>
        <w:ind w:left="360" w:hanging="360"/>
        <w:rPr/>
      </w:pPr>
      <w:r w:rsidDel="00000000" w:rsidR="00000000" w:rsidRPr="00000000">
        <w:rPr>
          <w:rtl w:val="0"/>
        </w:rPr>
        <w:t xml:space="preserve">The Australian Government must improve pathways and accessibility to tertiary education and learning.</w:t>
      </w:r>
      <w:r w:rsidDel="00000000" w:rsidR="00000000" w:rsidRPr="00000000">
        <w:rPr>
          <w:rtl w:val="0"/>
        </w:rPr>
      </w:r>
    </w:p>
    <w:sectPr>
      <w:headerReference r:id="rId8" w:type="default"/>
      <w:footerReference r:id="rId9" w:type="default"/>
      <w:pgSz w:h="16840" w:w="11900" w:orient="portrait"/>
      <w:pgMar w:bottom="1985" w:top="1985"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680" w:firstLine="0"/>
      <w:jc w:val="left"/>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 w:val="right" w:pos="9020"/>
      </w:tabs>
      <w:spacing w:after="0" w:before="0" w:line="240" w:lineRule="auto"/>
      <w:ind w:left="0" w:right="89" w:firstLine="0"/>
      <w:jc w:val="righ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LivedX Series: What Young People Said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s>
      <w:spacing w:after="0" w:before="0" w:line="240" w:lineRule="auto"/>
      <w:ind w:left="0" w:right="89" w:firstLine="0"/>
      <w:jc w:val="right"/>
      <w:rPr>
        <w:rFonts w:ascii="Helvetica Neue Light" w:cs="Helvetica Neue Light" w:eastAsia="Helvetica Neue Light" w:hAnsi="Helvetica Neue Light"/>
        <w:b w:val="0"/>
        <w:i w:val="0"/>
        <w:smallCaps w:val="0"/>
        <w:strike w:val="0"/>
        <w:color w:val="000000"/>
        <w:sz w:val="21"/>
        <w:szCs w:val="21"/>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1"/>
        <w:szCs w:val="21"/>
        <w:u w:val="none"/>
        <w:shd w:fill="auto" w:val="clear"/>
        <w:vertAlign w:val="baseline"/>
        <w:rtl w:val="0"/>
      </w:rPr>
      <w:t xml:space="preserve">Tertiary Education and Learning</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Helvetica Neue Light" w:cs="Helvetica Neue Light" w:eastAsia="Helvetica Neue Light" w:hAnsi="Helvetica Neue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AIHW. (2022). </w:t>
      </w:r>
      <w:r w:rsidDel="00000000" w:rsidR="00000000" w:rsidRPr="00000000">
        <w:rPr>
          <w:rFonts w:ascii="Helvetica Neue Light" w:cs="Helvetica Neue Light" w:eastAsia="Helvetica Neue Light" w:hAnsi="Helvetica Neue Light"/>
          <w:b w:val="0"/>
          <w:i w:val="1"/>
          <w:smallCaps w:val="0"/>
          <w:strike w:val="0"/>
          <w:color w:val="000000"/>
          <w:sz w:val="18"/>
          <w:szCs w:val="18"/>
          <w:u w:val="none"/>
          <w:shd w:fill="auto" w:val="clear"/>
          <w:vertAlign w:val="baseline"/>
          <w:rtl w:val="0"/>
        </w:rPr>
        <w:t xml:space="preserve">People with disability in Australia. </w:t>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Available at: </w:t>
      </w:r>
      <w:hyperlink r:id="rId1">
        <w:r w:rsidDel="00000000" w:rsidR="00000000" w:rsidRPr="00000000">
          <w:rPr>
            <w:rFonts w:ascii="Helvetica Neue Light" w:cs="Helvetica Neue Light" w:eastAsia="Helvetica Neue Light" w:hAnsi="Helvetica Neue Light"/>
            <w:b w:val="0"/>
            <w:i w:val="0"/>
            <w:smallCaps w:val="0"/>
            <w:strike w:val="0"/>
            <w:color w:val="1155cc"/>
            <w:sz w:val="18"/>
            <w:szCs w:val="18"/>
            <w:u w:val="single"/>
            <w:shd w:fill="auto" w:val="clear"/>
            <w:vertAlign w:val="baseline"/>
            <w:rtl w:val="0"/>
          </w:rPr>
          <w:t xml:space="preserve">Engagement in Education (aihw.gov.au)</w:t>
        </w:r>
      </w:hyperlink>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59400" cy="10684800"/>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400" cy="10684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4"/>
        <w:szCs w:val="24"/>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004d2b"/>
      <w:sz w:val="32"/>
      <w:szCs w:val="32"/>
    </w:rPr>
  </w:style>
  <w:style w:type="paragraph" w:styleId="Heading2">
    <w:name w:val="heading 2"/>
    <w:basedOn w:val="Normal"/>
    <w:next w:val="Normal"/>
    <w:pPr>
      <w:keepNext w:val="1"/>
      <w:keepLines w:val="1"/>
      <w:spacing w:before="240" w:lineRule="auto"/>
    </w:pPr>
    <w:rPr>
      <w:rFonts w:ascii="Helvetica Neue" w:cs="Helvetica Neue" w:eastAsia="Helvetica Neue" w:hAnsi="Helvetica Neue"/>
      <w:b w:val="1"/>
      <w:color w:val="00683a"/>
      <w:sz w:val="26"/>
      <w:szCs w:val="26"/>
    </w:rPr>
  </w:style>
  <w:style w:type="paragraph" w:styleId="Heading3">
    <w:name w:val="heading 3"/>
    <w:basedOn w:val="Normal"/>
    <w:next w:val="Normal"/>
    <w:pPr>
      <w:keepNext w:val="1"/>
      <w:keepLines w:val="1"/>
      <w:spacing w:before="240" w:lineRule="auto"/>
    </w:pPr>
    <w:rPr>
      <w:rFonts w:ascii="Helvetica Neue" w:cs="Helvetica Neue" w:eastAsia="Helvetica Neue" w:hAnsi="Helvetica Neue"/>
      <w:b w:val="1"/>
      <w:color w:val="df60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63BE"/>
    <w:pPr>
      <w:spacing w:after="120" w:before="120" w:line="276" w:lineRule="auto"/>
    </w:pPr>
    <w:rPr>
      <w:rFonts w:ascii="Helvetica Neue Light" w:hAnsi="Helvetica Neue Light"/>
      <w:lang w:val="en-AU"/>
    </w:rPr>
  </w:style>
  <w:style w:type="paragraph" w:styleId="Heading1">
    <w:name w:val="heading 1"/>
    <w:basedOn w:val="Normal"/>
    <w:next w:val="Normal"/>
    <w:link w:val="Heading1Char"/>
    <w:uiPriority w:val="9"/>
    <w:qFormat w:val="1"/>
    <w:rsid w:val="007529B0"/>
    <w:pPr>
      <w:keepNext w:val="1"/>
      <w:keepLines w:val="1"/>
      <w:spacing w:after="0" w:before="240"/>
      <w:outlineLvl w:val="0"/>
    </w:pPr>
    <w:rPr>
      <w:rFonts w:asciiTheme="majorHAnsi" w:cstheme="majorBidi" w:eastAsiaTheme="majorEastAsia" w:hAnsiTheme="majorHAnsi"/>
      <w:color w:val="004d2b" w:themeColor="accent1" w:themeShade="0000BF"/>
      <w:sz w:val="32"/>
      <w:szCs w:val="32"/>
    </w:rPr>
  </w:style>
  <w:style w:type="paragraph" w:styleId="Heading2">
    <w:name w:val="heading 2"/>
    <w:basedOn w:val="Normal"/>
    <w:next w:val="Normal"/>
    <w:link w:val="Heading2Char"/>
    <w:uiPriority w:val="9"/>
    <w:unhideWhenUsed w:val="1"/>
    <w:qFormat w:val="1"/>
    <w:rsid w:val="00991F6B"/>
    <w:pPr>
      <w:keepNext w:val="1"/>
      <w:keepLines w:val="1"/>
      <w:spacing w:before="240"/>
      <w:outlineLvl w:val="1"/>
    </w:pPr>
    <w:rPr>
      <w:rFonts w:ascii="Helvetica Neue" w:hAnsi="Helvetica Neue" w:cstheme="majorBidi" w:eastAsiaTheme="majorEastAsia"/>
      <w:b w:val="1"/>
      <w:bCs w:val="1"/>
      <w:color w:val="00683a" w:themeColor="accent1"/>
      <w:sz w:val="26"/>
      <w:szCs w:val="26"/>
    </w:rPr>
  </w:style>
  <w:style w:type="paragraph" w:styleId="Heading3">
    <w:name w:val="heading 3"/>
    <w:basedOn w:val="Normal"/>
    <w:next w:val="Normal"/>
    <w:link w:val="Heading3Char"/>
    <w:uiPriority w:val="9"/>
    <w:unhideWhenUsed w:val="1"/>
    <w:qFormat w:val="1"/>
    <w:rsid w:val="00C36D48"/>
    <w:pPr>
      <w:keepNext w:val="1"/>
      <w:keepLines w:val="1"/>
      <w:spacing w:before="240"/>
      <w:outlineLvl w:val="2"/>
    </w:pPr>
    <w:rPr>
      <w:rFonts w:ascii="Helvetica Neue" w:hAnsi="Helvetica Neue" w:cstheme="majorBidi" w:eastAsiaTheme="majorEastAsia"/>
      <w:b w:val="1"/>
      <w:bCs w:val="1"/>
      <w:color w:val="df6020"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91F6B"/>
    <w:rPr>
      <w:rFonts w:ascii="Helvetica Neue" w:hAnsi="Helvetica Neue" w:cstheme="majorBidi" w:eastAsiaTheme="majorEastAsia"/>
      <w:b w:val="1"/>
      <w:bCs w:val="1"/>
      <w:color w:val="00683a" w:themeColor="accent1"/>
      <w:sz w:val="26"/>
      <w:szCs w:val="26"/>
      <w:lang w:val="en-AU"/>
    </w:rPr>
  </w:style>
  <w:style w:type="table" w:styleId="TableGrid">
    <w:name w:val="Table Grid"/>
    <w:basedOn w:val="TableNormal"/>
    <w:uiPriority w:val="39"/>
    <w:rsid w:val="00B872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B872BE"/>
    <w:pPr>
      <w:spacing w:after="100" w:afterAutospacing="1" w:before="100" w:beforeAutospacing="1" w:line="240" w:lineRule="auto"/>
    </w:pPr>
    <w:rPr>
      <w:rFonts w:ascii="Times New Roman" w:cs="Times New Roman" w:eastAsia="Times New Roman" w:hAnsi="Times New Roman"/>
      <w:lang w:bidi="hi-IN" w:eastAsia="en-GB"/>
    </w:rPr>
  </w:style>
  <w:style w:type="character" w:styleId="Heading3Char" w:customStyle="1">
    <w:name w:val="Heading 3 Char"/>
    <w:basedOn w:val="DefaultParagraphFont"/>
    <w:link w:val="Heading3"/>
    <w:uiPriority w:val="9"/>
    <w:rsid w:val="00C36D48"/>
    <w:rPr>
      <w:rFonts w:ascii="Helvetica Neue" w:hAnsi="Helvetica Neue" w:cstheme="majorBidi" w:eastAsiaTheme="majorEastAsia"/>
      <w:b w:val="1"/>
      <w:bCs w:val="1"/>
      <w:color w:val="df6020" w:themeColor="accent2"/>
      <w:lang w:val="en-AU"/>
    </w:rPr>
  </w:style>
  <w:style w:type="paragraph" w:styleId="ListParagraph">
    <w:name w:val="List Paragraph"/>
    <w:basedOn w:val="Normal"/>
    <w:uiPriority w:val="34"/>
    <w:qFormat w:val="1"/>
    <w:rsid w:val="008C6AE8"/>
    <w:pPr>
      <w:ind w:left="720"/>
      <w:contextualSpacing w:val="1"/>
    </w:pPr>
  </w:style>
  <w:style w:type="paragraph" w:styleId="IntenseQuote">
    <w:name w:val="Intense Quote"/>
    <w:basedOn w:val="Normal"/>
    <w:next w:val="Normal"/>
    <w:link w:val="IntenseQuoteChar"/>
    <w:uiPriority w:val="30"/>
    <w:qFormat w:val="1"/>
    <w:rsid w:val="0038347A"/>
    <w:pPr>
      <w:keepLines w:val="1"/>
      <w:pBdr>
        <w:left w:color="f89c3e" w:space="10" w:sz="24" w:themeColor="accent4" w:val="single"/>
      </w:pBdr>
      <w:spacing w:after="0"/>
      <w:ind w:left="284"/>
    </w:pPr>
    <w:rPr>
      <w:i w:val="1"/>
      <w:iCs w:val="1"/>
    </w:rPr>
  </w:style>
  <w:style w:type="character" w:styleId="IntenseQuoteChar" w:customStyle="1">
    <w:name w:val="Intense Quote Char"/>
    <w:basedOn w:val="DefaultParagraphFont"/>
    <w:link w:val="IntenseQuote"/>
    <w:uiPriority w:val="30"/>
    <w:rsid w:val="0038347A"/>
    <w:rPr>
      <w:rFonts w:ascii="Helvetica Neue Light" w:hAnsi="Helvetica Neue Light"/>
      <w:i w:val="1"/>
      <w:iCs w:val="1"/>
      <w:lang w:val="en-AU"/>
    </w:rPr>
  </w:style>
  <w:style w:type="paragraph" w:styleId="Header">
    <w:name w:val="header"/>
    <w:basedOn w:val="Normal"/>
    <w:link w:val="HeaderChar"/>
    <w:uiPriority w:val="99"/>
    <w:unhideWhenUsed w:val="1"/>
    <w:rsid w:val="008E75C5"/>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val="1"/>
    <w:rsid w:val="008E75C5"/>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val="1"/>
    <w:unhideWhenUsed w:val="1"/>
    <w:rsid w:val="007529B0"/>
  </w:style>
  <w:style w:type="character" w:styleId="Heading1Char" w:customStyle="1">
    <w:name w:val="Heading 1 Char"/>
    <w:basedOn w:val="DefaultParagraphFont"/>
    <w:link w:val="Heading1"/>
    <w:uiPriority w:val="9"/>
    <w:rsid w:val="007529B0"/>
    <w:rPr>
      <w:rFonts w:asciiTheme="majorHAnsi" w:cstheme="majorBidi" w:eastAsiaTheme="majorEastAsia" w:hAnsiTheme="majorHAnsi"/>
      <w:color w:val="004d2b" w:themeColor="accent1" w:themeShade="0000BF"/>
      <w:sz w:val="32"/>
      <w:szCs w:val="32"/>
      <w:lang w:val="en-AU"/>
    </w:rPr>
  </w:style>
  <w:style w:type="paragraph" w:styleId="BreakBtwnQuotes" w:customStyle="1">
    <w:name w:val="BreakBtwnQuotes"/>
    <w:basedOn w:val="Normal"/>
    <w:qFormat w:val="1"/>
    <w:rsid w:val="0038347A"/>
    <w:pPr>
      <w:spacing w:before="0" w:line="240" w:lineRule="auto"/>
    </w:pPr>
    <w:rPr>
      <w:sz w:val="2"/>
      <w:szCs w:val="2"/>
    </w:rPr>
  </w:style>
  <w:style w:type="paragraph" w:styleId="FootnoteText">
    <w:name w:val="footnote text"/>
    <w:basedOn w:val="Normal"/>
    <w:link w:val="FootnoteTextChar"/>
    <w:uiPriority w:val="99"/>
    <w:unhideWhenUsed w:val="1"/>
    <w:rsid w:val="006A301E"/>
    <w:pPr>
      <w:spacing w:after="0" w:before="60"/>
    </w:pPr>
    <w:rPr>
      <w:rFonts w:cs="Arial"/>
      <w:sz w:val="18"/>
      <w:szCs w:val="18"/>
    </w:rPr>
  </w:style>
  <w:style w:type="character" w:styleId="FootnoteTextChar" w:customStyle="1">
    <w:name w:val="Footnote Text Char"/>
    <w:basedOn w:val="DefaultParagraphFont"/>
    <w:link w:val="FootnoteText"/>
    <w:uiPriority w:val="99"/>
    <w:rsid w:val="006A301E"/>
    <w:rPr>
      <w:rFonts w:ascii="Helvetica Neue Light" w:cs="Arial" w:hAnsi="Helvetica Neue Light"/>
      <w:sz w:val="18"/>
      <w:szCs w:val="18"/>
      <w:lang w:val="en-AU"/>
    </w:rPr>
  </w:style>
  <w:style w:type="character" w:styleId="FootnoteReference">
    <w:name w:val="footnote reference"/>
    <w:basedOn w:val="DefaultParagraphFont"/>
    <w:uiPriority w:val="99"/>
    <w:unhideWhenUsed w:val="1"/>
    <w:rsid w:val="00425663"/>
    <w:rPr>
      <w:rFonts w:ascii="Helvetica Neue Light" w:hAnsi="Helvetica Neue Light"/>
      <w:b w:val="0"/>
      <w:i w:val="0"/>
      <w:vertAlign w:val="superscript"/>
    </w:rPr>
  </w:style>
  <w:style w:type="character" w:styleId="Hyperlink">
    <w:name w:val="Hyperlink"/>
    <w:basedOn w:val="DefaultParagraphFont"/>
    <w:uiPriority w:val="99"/>
    <w:unhideWhenUsed w:val="1"/>
    <w:rsid w:val="00D96253"/>
    <w:rPr>
      <w:color w:val="0563c1" w:themeColor="hyperlink"/>
      <w:u w:val="single"/>
    </w:rPr>
  </w:style>
  <w:style w:type="character" w:styleId="UnresolvedMention">
    <w:name w:val="Unresolved Mention"/>
    <w:basedOn w:val="DefaultParagraphFont"/>
    <w:uiPriority w:val="99"/>
    <w:rsid w:val="000C76C3"/>
    <w:rPr>
      <w:color w:val="605e5c"/>
      <w:shd w:color="auto" w:fill="e1dfdd" w:val="clear"/>
    </w:rPr>
  </w:style>
  <w:style w:type="character" w:styleId="FollowedHyperlink">
    <w:name w:val="FollowedHyperlink"/>
    <w:basedOn w:val="DefaultParagraphFont"/>
    <w:uiPriority w:val="99"/>
    <w:semiHidden w:val="1"/>
    <w:unhideWhenUsed w:val="1"/>
    <w:rsid w:val="000C76C3"/>
    <w:rPr>
      <w:color w:val="954f72" w:themeColor="followedHyperlink"/>
      <w:u w:val="single"/>
    </w:rPr>
  </w:style>
  <w:style w:type="character" w:styleId="CommentReference">
    <w:name w:val="annotation reference"/>
    <w:basedOn w:val="DefaultParagraphFont"/>
    <w:uiPriority w:val="99"/>
    <w:semiHidden w:val="1"/>
    <w:unhideWhenUsed w:val="1"/>
    <w:rsid w:val="004E4A5B"/>
    <w:rPr>
      <w:sz w:val="16"/>
      <w:szCs w:val="16"/>
    </w:rPr>
  </w:style>
  <w:style w:type="paragraph" w:styleId="CommentText">
    <w:name w:val="annotation text"/>
    <w:basedOn w:val="Normal"/>
    <w:link w:val="CommentTextChar"/>
    <w:uiPriority w:val="99"/>
    <w:unhideWhenUsed w:val="1"/>
    <w:rsid w:val="004E4A5B"/>
    <w:pPr>
      <w:spacing w:line="240" w:lineRule="auto"/>
    </w:pPr>
    <w:rPr>
      <w:sz w:val="20"/>
      <w:szCs w:val="20"/>
    </w:rPr>
  </w:style>
  <w:style w:type="character" w:styleId="CommentTextChar" w:customStyle="1">
    <w:name w:val="Comment Text Char"/>
    <w:basedOn w:val="DefaultParagraphFont"/>
    <w:link w:val="CommentText"/>
    <w:uiPriority w:val="99"/>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val="1"/>
    <w:unhideWhenUsed w:val="1"/>
    <w:rsid w:val="004E4A5B"/>
    <w:rPr>
      <w:b w:val="1"/>
      <w:bCs w:val="1"/>
    </w:rPr>
  </w:style>
  <w:style w:type="character" w:styleId="CommentSubjectChar" w:customStyle="1">
    <w:name w:val="Comment Subject Char"/>
    <w:basedOn w:val="CommentTextChar"/>
    <w:link w:val="CommentSubject"/>
    <w:uiPriority w:val="99"/>
    <w:semiHidden w:val="1"/>
    <w:rsid w:val="004E4A5B"/>
    <w:rPr>
      <w:rFonts w:ascii="Helvetica Neue Light" w:hAnsi="Helvetica Neue Light"/>
      <w:b w:val="1"/>
      <w:bCs w:val="1"/>
      <w:sz w:val="20"/>
      <w:szCs w:val="20"/>
      <w:lang w:val="en-AU"/>
    </w:rPr>
  </w:style>
  <w:style w:type="paragraph" w:styleId="FigureHeading" w:customStyle="1">
    <w:name w:val="Figure Heading"/>
    <w:basedOn w:val="Normal"/>
    <w:qFormat w:val="1"/>
    <w:rsid w:val="00DC1E81"/>
    <w:rPr>
      <w:rFonts w:ascii="Helvetica Neue" w:hAnsi="Helvetica Neue"/>
      <w:color w:val="00683a" w:themeColor="accent1"/>
    </w:rPr>
  </w:style>
  <w:style w:type="paragraph" w:styleId="Footnotes" w:customStyle="1">
    <w:name w:val="Footnotes"/>
    <w:basedOn w:val="FootnoteText"/>
    <w:qFormat w:val="1"/>
    <w:rsid w:val="00D149D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disability/people-with-disability-in-australia/contents/education-and-skills/engagement-i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S07FWLGu64gbz9ja7TCBGol5w==">AMUW2mX8eseEqOtNg3CjvN4hCAke481An/y3YTl82DvaMvMOiY71brFfq7vLvV/mU3+KlZd8YdiJhavIqwkBJFBVQoHXkbCXzx1vCRckh9Z6HkDdZgK4TdzUUeRzNiH9RZTaLA/BUrYr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B2F1822-8764-4D67-A9B7-45DAA2A6D12D}"/>
</file>

<file path=customXML/itemProps3.xml><?xml version="1.0" encoding="utf-8"?>
<ds:datastoreItem xmlns:ds="http://schemas.openxmlformats.org/officeDocument/2006/customXml" ds:itemID="{86616635-B5B8-43C4-9C8E-36D34033A411}"/>
</file>

<file path=customXML/itemProps4.xml><?xml version="1.0" encoding="utf-8"?>
<ds:datastoreItem xmlns:ds="http://schemas.openxmlformats.org/officeDocument/2006/customXml" ds:itemID="{95641F03-414F-482E-A1AC-04BDF52B40F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Polglaze</dc:creator>
  <dcterms:created xsi:type="dcterms:W3CDTF">2022-07-17T08:25:00Z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