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C4EB" w14:textId="78EFE00B" w:rsidR="00E728CC" w:rsidRPr="00C67C33" w:rsidRDefault="00E728CC" w:rsidP="00E728CC">
      <w:pPr>
        <w:rPr>
          <w:rFonts w:ascii="Arial" w:hAnsi="Arial" w:cs="Arial"/>
          <w:b/>
          <w:sz w:val="28"/>
          <w:szCs w:val="28"/>
        </w:rPr>
      </w:pPr>
      <w:r w:rsidRPr="00C67C33">
        <w:rPr>
          <w:rFonts w:ascii="Arial" w:hAnsi="Arial" w:cs="Arial"/>
          <w:b/>
          <w:noProof/>
          <w:lang w:eastAsia="en-AU"/>
        </w:rPr>
        <w:drawing>
          <wp:anchor distT="0" distB="0" distL="114300" distR="114300" simplePos="0" relativeHeight="251659264"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F2F2E" w14:textId="77777777" w:rsidR="00E728CC" w:rsidRPr="00C67C33" w:rsidRDefault="00E728CC" w:rsidP="00E728CC">
      <w:pPr>
        <w:rPr>
          <w:rFonts w:ascii="Arial" w:hAnsi="Arial" w:cs="Arial"/>
          <w:b/>
          <w:sz w:val="28"/>
          <w:szCs w:val="28"/>
        </w:rPr>
      </w:pPr>
    </w:p>
    <w:p w14:paraId="77F1E04F" w14:textId="0F5CDF51" w:rsidR="00E728CC" w:rsidRPr="00C67C33" w:rsidRDefault="00E728CC" w:rsidP="00E728CC">
      <w:pPr>
        <w:jc w:val="center"/>
        <w:rPr>
          <w:rFonts w:ascii="Arial" w:hAnsi="Arial" w:cs="Arial"/>
          <w:b/>
          <w:sz w:val="28"/>
          <w:szCs w:val="28"/>
        </w:rPr>
      </w:pPr>
    </w:p>
    <w:p w14:paraId="153731E2" w14:textId="77777777" w:rsidR="00E728CC" w:rsidRPr="00C67C33" w:rsidRDefault="00E728CC" w:rsidP="00E728CC">
      <w:pPr>
        <w:rPr>
          <w:rFonts w:ascii="Arial" w:hAnsi="Arial" w:cs="Arial"/>
          <w:b/>
          <w:sz w:val="28"/>
          <w:szCs w:val="28"/>
        </w:rPr>
      </w:pPr>
    </w:p>
    <w:p w14:paraId="01817642" w14:textId="77777777" w:rsidR="00E728CC" w:rsidRPr="00C67C33" w:rsidRDefault="00E728CC" w:rsidP="00E728CC">
      <w:pPr>
        <w:rPr>
          <w:rFonts w:ascii="Arial" w:hAnsi="Arial" w:cs="Arial"/>
          <w:b/>
          <w:sz w:val="28"/>
          <w:szCs w:val="28"/>
        </w:rPr>
      </w:pPr>
    </w:p>
    <w:p w14:paraId="4B58ABC2" w14:textId="77777777" w:rsidR="0033031B" w:rsidRPr="00C67C33" w:rsidRDefault="0033031B" w:rsidP="00E728CC">
      <w:pPr>
        <w:rPr>
          <w:rFonts w:ascii="Arial" w:hAnsi="Arial" w:cs="Arial"/>
          <w:b/>
          <w:sz w:val="40"/>
          <w:szCs w:val="40"/>
        </w:rPr>
      </w:pPr>
    </w:p>
    <w:p w14:paraId="23C211B0" w14:textId="77777777" w:rsidR="0033031B" w:rsidRPr="00C67C33" w:rsidRDefault="0033031B" w:rsidP="00E728CC">
      <w:pPr>
        <w:rPr>
          <w:rFonts w:ascii="Arial" w:hAnsi="Arial" w:cs="Arial"/>
          <w:b/>
          <w:sz w:val="40"/>
          <w:szCs w:val="40"/>
        </w:rPr>
      </w:pPr>
    </w:p>
    <w:p w14:paraId="1A91C888" w14:textId="615B5ACF" w:rsidR="00E728CC" w:rsidRDefault="00AB7469" w:rsidP="00E728CC">
      <w:pPr>
        <w:rPr>
          <w:rFonts w:ascii="Arial" w:hAnsi="Arial" w:cs="Arial"/>
          <w:b/>
          <w:sz w:val="40"/>
          <w:szCs w:val="40"/>
        </w:rPr>
      </w:pPr>
      <w:r>
        <w:rPr>
          <w:rFonts w:ascii="Arial" w:hAnsi="Arial" w:cs="Arial"/>
          <w:b/>
          <w:sz w:val="40"/>
          <w:szCs w:val="40"/>
        </w:rPr>
        <w:t>Submission to the Joint Standing Committee on the National Disability Insurance Scheme</w:t>
      </w:r>
      <w:r w:rsidR="00E2747E">
        <w:rPr>
          <w:rFonts w:ascii="Arial" w:hAnsi="Arial" w:cs="Arial"/>
          <w:b/>
          <w:sz w:val="40"/>
          <w:szCs w:val="40"/>
        </w:rPr>
        <w:t>:</w:t>
      </w:r>
    </w:p>
    <w:p w14:paraId="677279D0" w14:textId="4E6ED2A4" w:rsidR="00AB7469" w:rsidRPr="008F05AD" w:rsidRDefault="00AB7469" w:rsidP="00E2747E">
      <w:pPr>
        <w:spacing w:before="480"/>
        <w:rPr>
          <w:rFonts w:ascii="Arial" w:hAnsi="Arial" w:cs="Arial"/>
          <w:b/>
          <w:sz w:val="24"/>
          <w:szCs w:val="24"/>
        </w:rPr>
      </w:pPr>
      <w:r>
        <w:rPr>
          <w:rFonts w:ascii="Arial" w:hAnsi="Arial" w:cs="Arial"/>
          <w:b/>
          <w:sz w:val="40"/>
          <w:szCs w:val="40"/>
        </w:rPr>
        <w:t>Inquiry into the NDIS Quality and Safeguards Commission</w:t>
      </w:r>
    </w:p>
    <w:p w14:paraId="65C6C007" w14:textId="77777777" w:rsidR="00E728CC" w:rsidRPr="00C67C33" w:rsidRDefault="00E728CC" w:rsidP="00E728CC">
      <w:pPr>
        <w:rPr>
          <w:rFonts w:ascii="Arial" w:hAnsi="Arial" w:cs="Arial"/>
          <w:b/>
          <w:sz w:val="24"/>
          <w:szCs w:val="24"/>
        </w:rPr>
      </w:pPr>
    </w:p>
    <w:p w14:paraId="14C1B658" w14:textId="77777777" w:rsidR="00E728CC" w:rsidRPr="00C67C33" w:rsidRDefault="00E728CC" w:rsidP="00E728CC">
      <w:pPr>
        <w:rPr>
          <w:rFonts w:ascii="Arial" w:hAnsi="Arial" w:cs="Arial"/>
          <w:b/>
          <w:sz w:val="24"/>
          <w:szCs w:val="24"/>
        </w:rPr>
      </w:pPr>
    </w:p>
    <w:p w14:paraId="26E10000" w14:textId="77777777" w:rsidR="0033031B" w:rsidRPr="00C67C33" w:rsidRDefault="0033031B" w:rsidP="00E728CC">
      <w:pPr>
        <w:rPr>
          <w:rFonts w:ascii="Arial" w:hAnsi="Arial" w:cs="Arial"/>
          <w:b/>
          <w:sz w:val="36"/>
          <w:szCs w:val="24"/>
        </w:rPr>
      </w:pPr>
    </w:p>
    <w:p w14:paraId="219F990E" w14:textId="04A9B07F" w:rsidR="00371DA6" w:rsidRPr="00C67C33" w:rsidRDefault="00E728CC" w:rsidP="00E728CC">
      <w:pPr>
        <w:rPr>
          <w:rFonts w:ascii="Arial" w:hAnsi="Arial" w:cs="Arial"/>
          <w:b/>
          <w:sz w:val="36"/>
          <w:szCs w:val="24"/>
        </w:rPr>
      </w:pPr>
      <w:r w:rsidRPr="00C67C33">
        <w:rPr>
          <w:rFonts w:ascii="Arial" w:hAnsi="Arial" w:cs="Arial"/>
          <w:b/>
          <w:sz w:val="36"/>
          <w:szCs w:val="24"/>
        </w:rPr>
        <w:t xml:space="preserve">Children and Young People with Disability Australia </w:t>
      </w:r>
    </w:p>
    <w:p w14:paraId="667D13BA" w14:textId="0C93ACA2" w:rsidR="00E728CC" w:rsidRPr="00C67C33" w:rsidRDefault="00AB7469" w:rsidP="00E728CC">
      <w:pPr>
        <w:rPr>
          <w:rFonts w:ascii="Arial" w:hAnsi="Arial" w:cs="Arial"/>
          <w:b/>
          <w:sz w:val="36"/>
          <w:szCs w:val="24"/>
        </w:rPr>
      </w:pPr>
      <w:r>
        <w:rPr>
          <w:rFonts w:ascii="Arial" w:hAnsi="Arial" w:cs="Arial"/>
          <w:b/>
          <w:sz w:val="36"/>
          <w:szCs w:val="24"/>
        </w:rPr>
        <w:t>August</w:t>
      </w:r>
      <w:r w:rsidR="00E728CC" w:rsidRPr="00C67C33">
        <w:rPr>
          <w:rFonts w:ascii="Arial" w:hAnsi="Arial" w:cs="Arial"/>
          <w:b/>
          <w:sz w:val="36"/>
          <w:szCs w:val="24"/>
        </w:rPr>
        <w:t xml:space="preserve"> 2020</w:t>
      </w:r>
    </w:p>
    <w:p w14:paraId="0136C6B5" w14:textId="5D58B8CB" w:rsidR="00E728CC" w:rsidRPr="00C67C33" w:rsidRDefault="00E728CC" w:rsidP="00E728CC">
      <w:pPr>
        <w:tabs>
          <w:tab w:val="left" w:pos="5445"/>
        </w:tabs>
        <w:rPr>
          <w:rFonts w:ascii="Arial" w:hAnsi="Arial" w:cs="Arial"/>
          <w:b/>
          <w:sz w:val="36"/>
          <w:szCs w:val="24"/>
        </w:rPr>
      </w:pPr>
    </w:p>
    <w:p w14:paraId="2D71C44E" w14:textId="77777777" w:rsidR="00E728CC" w:rsidRPr="00C67C33" w:rsidRDefault="00E728CC" w:rsidP="00E728CC">
      <w:pPr>
        <w:rPr>
          <w:rFonts w:ascii="Arial" w:hAnsi="Arial" w:cs="Arial"/>
          <w:sz w:val="24"/>
          <w:szCs w:val="24"/>
        </w:rPr>
      </w:pPr>
    </w:p>
    <w:p w14:paraId="0084A0CF" w14:textId="77777777" w:rsidR="00E728CC" w:rsidRPr="00C67C33" w:rsidRDefault="00E728CC" w:rsidP="00E728CC">
      <w:pPr>
        <w:rPr>
          <w:rFonts w:ascii="Arial" w:hAnsi="Arial" w:cs="Arial"/>
          <w:sz w:val="24"/>
          <w:szCs w:val="24"/>
        </w:rPr>
      </w:pPr>
    </w:p>
    <w:p w14:paraId="7B19D437" w14:textId="77777777" w:rsidR="00E728CC" w:rsidRPr="00C67C33" w:rsidRDefault="00E728CC" w:rsidP="00E728CC">
      <w:pPr>
        <w:rPr>
          <w:rFonts w:ascii="Arial" w:hAnsi="Arial" w:cs="Arial"/>
          <w:sz w:val="24"/>
          <w:szCs w:val="24"/>
        </w:rPr>
      </w:pPr>
    </w:p>
    <w:p w14:paraId="28EF2E38" w14:textId="77777777" w:rsidR="00E728CC" w:rsidRPr="00C67C33" w:rsidRDefault="00E728CC" w:rsidP="00E728CC">
      <w:pPr>
        <w:rPr>
          <w:rFonts w:ascii="Arial" w:hAnsi="Arial" w:cs="Arial"/>
          <w:sz w:val="24"/>
          <w:szCs w:val="24"/>
        </w:rPr>
      </w:pPr>
    </w:p>
    <w:p w14:paraId="7ACCD4B6" w14:textId="77777777" w:rsidR="00E728CC" w:rsidRPr="00C67C33" w:rsidRDefault="00E728CC" w:rsidP="00E728CC">
      <w:pPr>
        <w:rPr>
          <w:rFonts w:ascii="Arial" w:hAnsi="Arial" w:cs="Arial"/>
          <w:sz w:val="24"/>
          <w:szCs w:val="24"/>
        </w:rPr>
      </w:pPr>
    </w:p>
    <w:p w14:paraId="1F093711" w14:textId="77777777" w:rsidR="00E728CC" w:rsidRPr="00C67C33" w:rsidRDefault="00E728CC" w:rsidP="00E728CC">
      <w:pPr>
        <w:tabs>
          <w:tab w:val="center" w:pos="4873"/>
        </w:tabs>
        <w:rPr>
          <w:rFonts w:ascii="Arial" w:hAnsi="Arial" w:cs="Arial"/>
          <w:sz w:val="24"/>
          <w:szCs w:val="24"/>
        </w:rPr>
        <w:sectPr w:rsidR="00E728CC" w:rsidRPr="00C67C33" w:rsidSect="0063415B">
          <w:headerReference w:type="default" r:id="rId9"/>
          <w:footerReference w:type="default" r:id="rId10"/>
          <w:pgSz w:w="11906" w:h="16838"/>
          <w:pgMar w:top="1440" w:right="1080" w:bottom="1440" w:left="1080" w:header="708" w:footer="708" w:gutter="0"/>
          <w:cols w:space="708"/>
          <w:docGrid w:linePitch="360"/>
        </w:sectPr>
      </w:pPr>
      <w:r w:rsidRPr="00C67C33">
        <w:rPr>
          <w:rFonts w:ascii="Arial" w:hAnsi="Arial" w:cs="Arial"/>
          <w:sz w:val="24"/>
          <w:szCs w:val="24"/>
        </w:rPr>
        <w:tab/>
      </w:r>
    </w:p>
    <w:p w14:paraId="7761E80F" w14:textId="0FE13411" w:rsidR="00E728CC" w:rsidRPr="00C67C33" w:rsidRDefault="00E728CC" w:rsidP="00514F43">
      <w:pPr>
        <w:spacing w:before="120" w:line="280" w:lineRule="atLeast"/>
        <w:rPr>
          <w:rFonts w:ascii="Arial" w:eastAsiaTheme="majorEastAsia" w:hAnsi="Arial" w:cs="Arial"/>
          <w:color w:val="538135" w:themeColor="accent6" w:themeShade="BF"/>
          <w:sz w:val="32"/>
          <w:szCs w:val="32"/>
        </w:rPr>
      </w:pPr>
      <w:r w:rsidRPr="00C67C33">
        <w:rPr>
          <w:rFonts w:ascii="Arial" w:eastAsiaTheme="majorEastAsia" w:hAnsi="Arial" w:cs="Arial"/>
          <w:color w:val="538135" w:themeColor="accent6" w:themeShade="BF"/>
          <w:sz w:val="32"/>
          <w:szCs w:val="32"/>
        </w:rPr>
        <w:lastRenderedPageBreak/>
        <w:t>Table of contents</w:t>
      </w:r>
    </w:p>
    <w:sdt>
      <w:sdtPr>
        <w:rPr>
          <w:rFonts w:asciiTheme="minorHAnsi" w:eastAsiaTheme="minorHAnsi" w:hAnsiTheme="minorHAnsi" w:cs="Arial"/>
          <w:color w:val="auto"/>
          <w:sz w:val="22"/>
          <w:szCs w:val="22"/>
          <w:lang w:val="en-AU"/>
        </w:rPr>
        <w:id w:val="-609346039"/>
        <w:docPartObj>
          <w:docPartGallery w:val="Table of Contents"/>
          <w:docPartUnique/>
        </w:docPartObj>
      </w:sdtPr>
      <w:sdtEndPr>
        <w:rPr>
          <w:b/>
          <w:bCs/>
          <w:noProof/>
        </w:rPr>
      </w:sdtEndPr>
      <w:sdtContent>
        <w:p w14:paraId="18142895" w14:textId="48311C3F" w:rsidR="00E728CC" w:rsidRPr="00C67C33" w:rsidRDefault="00E728CC">
          <w:pPr>
            <w:pStyle w:val="TOCHeading"/>
            <w:rPr>
              <w:rFonts w:cs="Arial"/>
            </w:rPr>
          </w:pPr>
        </w:p>
        <w:p w14:paraId="5477F5CB" w14:textId="3313C2E3" w:rsidR="005847E2" w:rsidRDefault="00C67C33">
          <w:pPr>
            <w:pStyle w:val="TOC1"/>
            <w:rPr>
              <w:rFonts w:asciiTheme="minorHAnsi" w:eastAsiaTheme="minorEastAsia" w:hAnsiTheme="minorHAnsi"/>
              <w:noProof/>
              <w:sz w:val="22"/>
              <w:lang w:eastAsia="en-AU"/>
            </w:rPr>
          </w:pPr>
          <w:r>
            <w:rPr>
              <w:rFonts w:cs="Arial"/>
              <w:b/>
              <w:bCs/>
              <w:noProof/>
            </w:rPr>
            <w:fldChar w:fldCharType="begin"/>
          </w:r>
          <w:r>
            <w:rPr>
              <w:rFonts w:cs="Arial"/>
              <w:b/>
              <w:bCs/>
              <w:noProof/>
            </w:rPr>
            <w:instrText xml:space="preserve"> TOC \o "1-1" \h \z \u </w:instrText>
          </w:r>
          <w:r>
            <w:rPr>
              <w:rFonts w:cs="Arial"/>
              <w:b/>
              <w:bCs/>
              <w:noProof/>
            </w:rPr>
            <w:fldChar w:fldCharType="separate"/>
          </w:r>
          <w:hyperlink w:anchor="_Toc48312802" w:history="1">
            <w:r w:rsidR="005847E2" w:rsidRPr="006A6571">
              <w:rPr>
                <w:rStyle w:val="Hyperlink"/>
                <w:rFonts w:cs="Arial"/>
                <w:noProof/>
              </w:rPr>
              <w:t>Introduction</w:t>
            </w:r>
            <w:r w:rsidR="005847E2">
              <w:rPr>
                <w:noProof/>
                <w:webHidden/>
              </w:rPr>
              <w:tab/>
            </w:r>
            <w:r w:rsidR="005847E2">
              <w:rPr>
                <w:noProof/>
                <w:webHidden/>
              </w:rPr>
              <w:fldChar w:fldCharType="begin"/>
            </w:r>
            <w:r w:rsidR="005847E2">
              <w:rPr>
                <w:noProof/>
                <w:webHidden/>
              </w:rPr>
              <w:instrText xml:space="preserve"> PAGEREF _Toc48312802 \h </w:instrText>
            </w:r>
            <w:r w:rsidR="005847E2">
              <w:rPr>
                <w:noProof/>
                <w:webHidden/>
              </w:rPr>
            </w:r>
            <w:r w:rsidR="005847E2">
              <w:rPr>
                <w:noProof/>
                <w:webHidden/>
              </w:rPr>
              <w:fldChar w:fldCharType="separate"/>
            </w:r>
            <w:r w:rsidR="002328A4">
              <w:rPr>
                <w:noProof/>
                <w:webHidden/>
              </w:rPr>
              <w:t>1</w:t>
            </w:r>
            <w:r w:rsidR="005847E2">
              <w:rPr>
                <w:noProof/>
                <w:webHidden/>
              </w:rPr>
              <w:fldChar w:fldCharType="end"/>
            </w:r>
          </w:hyperlink>
        </w:p>
        <w:p w14:paraId="191D4BD5" w14:textId="558C926F" w:rsidR="005847E2" w:rsidRDefault="002328A4">
          <w:pPr>
            <w:pStyle w:val="TOC1"/>
            <w:rPr>
              <w:rFonts w:asciiTheme="minorHAnsi" w:eastAsiaTheme="minorEastAsia" w:hAnsiTheme="minorHAnsi"/>
              <w:noProof/>
              <w:sz w:val="22"/>
              <w:lang w:eastAsia="en-AU"/>
            </w:rPr>
          </w:pPr>
          <w:hyperlink w:anchor="_Toc48312803" w:history="1">
            <w:r w:rsidR="005847E2" w:rsidRPr="006A6571">
              <w:rPr>
                <w:rStyle w:val="Hyperlink"/>
                <w:rFonts w:cs="Arial"/>
                <w:noProof/>
              </w:rPr>
              <w:t>Our recommendations</w:t>
            </w:r>
            <w:r w:rsidR="005847E2">
              <w:rPr>
                <w:noProof/>
                <w:webHidden/>
              </w:rPr>
              <w:tab/>
            </w:r>
            <w:r w:rsidR="005847E2">
              <w:rPr>
                <w:noProof/>
                <w:webHidden/>
              </w:rPr>
              <w:fldChar w:fldCharType="begin"/>
            </w:r>
            <w:r w:rsidR="005847E2">
              <w:rPr>
                <w:noProof/>
                <w:webHidden/>
              </w:rPr>
              <w:instrText xml:space="preserve"> PAGEREF _Toc48312803 \h </w:instrText>
            </w:r>
            <w:r w:rsidR="005847E2">
              <w:rPr>
                <w:noProof/>
                <w:webHidden/>
              </w:rPr>
            </w:r>
            <w:r w:rsidR="005847E2">
              <w:rPr>
                <w:noProof/>
                <w:webHidden/>
              </w:rPr>
              <w:fldChar w:fldCharType="separate"/>
            </w:r>
            <w:r>
              <w:rPr>
                <w:noProof/>
                <w:webHidden/>
              </w:rPr>
              <w:t>2</w:t>
            </w:r>
            <w:r w:rsidR="005847E2">
              <w:rPr>
                <w:noProof/>
                <w:webHidden/>
              </w:rPr>
              <w:fldChar w:fldCharType="end"/>
            </w:r>
          </w:hyperlink>
        </w:p>
        <w:p w14:paraId="13F2F11D" w14:textId="38B84FA5" w:rsidR="005847E2" w:rsidRDefault="002328A4">
          <w:pPr>
            <w:pStyle w:val="TOC1"/>
            <w:rPr>
              <w:rFonts w:asciiTheme="minorHAnsi" w:eastAsiaTheme="minorEastAsia" w:hAnsiTheme="minorHAnsi"/>
              <w:noProof/>
              <w:sz w:val="22"/>
              <w:lang w:eastAsia="en-AU"/>
            </w:rPr>
          </w:pPr>
          <w:hyperlink w:anchor="_Toc48312804" w:history="1">
            <w:r w:rsidR="005847E2" w:rsidRPr="006A6571">
              <w:rPr>
                <w:rStyle w:val="Hyperlink"/>
                <w:rFonts w:cs="Arial"/>
                <w:noProof/>
              </w:rPr>
              <w:t>Key concerns and areas for action</w:t>
            </w:r>
            <w:r w:rsidR="005847E2">
              <w:rPr>
                <w:noProof/>
                <w:webHidden/>
              </w:rPr>
              <w:tab/>
            </w:r>
            <w:r w:rsidR="005847E2">
              <w:rPr>
                <w:noProof/>
                <w:webHidden/>
              </w:rPr>
              <w:fldChar w:fldCharType="begin"/>
            </w:r>
            <w:r w:rsidR="005847E2">
              <w:rPr>
                <w:noProof/>
                <w:webHidden/>
              </w:rPr>
              <w:instrText xml:space="preserve"> PAGEREF _Toc48312804 \h </w:instrText>
            </w:r>
            <w:r w:rsidR="005847E2">
              <w:rPr>
                <w:noProof/>
                <w:webHidden/>
              </w:rPr>
            </w:r>
            <w:r w:rsidR="005847E2">
              <w:rPr>
                <w:noProof/>
                <w:webHidden/>
              </w:rPr>
              <w:fldChar w:fldCharType="separate"/>
            </w:r>
            <w:r>
              <w:rPr>
                <w:noProof/>
                <w:webHidden/>
              </w:rPr>
              <w:t>3</w:t>
            </w:r>
            <w:r w:rsidR="005847E2">
              <w:rPr>
                <w:noProof/>
                <w:webHidden/>
              </w:rPr>
              <w:fldChar w:fldCharType="end"/>
            </w:r>
          </w:hyperlink>
        </w:p>
        <w:p w14:paraId="5865A76E" w14:textId="6A18AAFE" w:rsidR="00E728CC" w:rsidRPr="00C67C33" w:rsidRDefault="00C67C33">
          <w:pPr>
            <w:rPr>
              <w:rFonts w:ascii="Arial" w:hAnsi="Arial" w:cs="Arial"/>
            </w:rPr>
          </w:pPr>
          <w:r>
            <w:rPr>
              <w:rFonts w:ascii="Arial" w:hAnsi="Arial" w:cs="Arial"/>
              <w:b/>
              <w:bCs/>
              <w:noProof/>
              <w:sz w:val="24"/>
            </w:rPr>
            <w:fldChar w:fldCharType="end"/>
          </w:r>
        </w:p>
      </w:sdtContent>
    </w:sdt>
    <w:p w14:paraId="02108E40" w14:textId="77777777" w:rsidR="00E728CC" w:rsidRPr="00C67C33" w:rsidRDefault="00E728CC" w:rsidP="00514F43">
      <w:pPr>
        <w:spacing w:before="120" w:line="280" w:lineRule="atLeast"/>
        <w:rPr>
          <w:rFonts w:ascii="Arial" w:eastAsiaTheme="majorEastAsia" w:hAnsi="Arial" w:cs="Arial"/>
          <w:sz w:val="24"/>
          <w:szCs w:val="24"/>
        </w:rPr>
      </w:pPr>
    </w:p>
    <w:p w14:paraId="25F8FA9C" w14:textId="77777777" w:rsidR="00695219" w:rsidRPr="00C67C33" w:rsidRDefault="00695219" w:rsidP="00514F43">
      <w:pPr>
        <w:spacing w:before="120" w:line="280" w:lineRule="atLeast"/>
        <w:rPr>
          <w:rFonts w:ascii="Arial" w:eastAsiaTheme="majorEastAsia" w:hAnsi="Arial" w:cs="Arial"/>
          <w:sz w:val="24"/>
          <w:szCs w:val="24"/>
        </w:rPr>
      </w:pPr>
    </w:p>
    <w:p w14:paraId="18EEBA12" w14:textId="77777777" w:rsidR="00695219" w:rsidRPr="00C67C33" w:rsidRDefault="00695219" w:rsidP="00695219">
      <w:pPr>
        <w:spacing w:before="120" w:line="280" w:lineRule="atLeast"/>
        <w:rPr>
          <w:rFonts w:ascii="Arial" w:hAnsi="Arial" w:cs="Arial"/>
          <w:sz w:val="24"/>
          <w:szCs w:val="24"/>
        </w:rPr>
      </w:pPr>
    </w:p>
    <w:p w14:paraId="1964FB2A" w14:textId="17E90DFF" w:rsidR="00695219" w:rsidRPr="00C67C33" w:rsidRDefault="00695219" w:rsidP="00695219">
      <w:pPr>
        <w:spacing w:before="120" w:line="280" w:lineRule="atLeast"/>
        <w:rPr>
          <w:rFonts w:ascii="Arial" w:hAnsi="Arial" w:cs="Arial"/>
          <w:sz w:val="24"/>
          <w:szCs w:val="24"/>
        </w:rPr>
      </w:pPr>
    </w:p>
    <w:p w14:paraId="45F0F653" w14:textId="48269BA1" w:rsidR="00C3534B" w:rsidRPr="00C67C33" w:rsidRDefault="00C3534B" w:rsidP="00695219">
      <w:pPr>
        <w:spacing w:before="120" w:line="280" w:lineRule="atLeast"/>
        <w:rPr>
          <w:rFonts w:ascii="Arial" w:hAnsi="Arial" w:cs="Arial"/>
          <w:sz w:val="24"/>
          <w:szCs w:val="24"/>
        </w:rPr>
      </w:pPr>
    </w:p>
    <w:p w14:paraId="0C2D424A" w14:textId="7AA838DA" w:rsidR="00C3534B" w:rsidRDefault="00C3534B" w:rsidP="00695219">
      <w:pPr>
        <w:spacing w:before="120" w:line="280" w:lineRule="atLeast"/>
        <w:rPr>
          <w:rFonts w:ascii="Arial" w:hAnsi="Arial" w:cs="Arial"/>
          <w:sz w:val="24"/>
          <w:szCs w:val="24"/>
        </w:rPr>
      </w:pPr>
    </w:p>
    <w:p w14:paraId="2299FD08" w14:textId="2F1F2F24" w:rsidR="00642D23" w:rsidRDefault="00642D23" w:rsidP="00695219">
      <w:pPr>
        <w:spacing w:before="120" w:line="280" w:lineRule="atLeast"/>
        <w:rPr>
          <w:rFonts w:ascii="Arial" w:hAnsi="Arial" w:cs="Arial"/>
          <w:sz w:val="24"/>
          <w:szCs w:val="24"/>
        </w:rPr>
      </w:pPr>
    </w:p>
    <w:p w14:paraId="3CD42F61" w14:textId="77777777" w:rsidR="006D381B" w:rsidRPr="00C67C33" w:rsidRDefault="006D381B" w:rsidP="00695219">
      <w:pPr>
        <w:spacing w:before="120" w:line="280" w:lineRule="atLeast"/>
        <w:rPr>
          <w:rFonts w:ascii="Arial" w:hAnsi="Arial" w:cs="Arial"/>
          <w:sz w:val="24"/>
          <w:szCs w:val="24"/>
        </w:rPr>
      </w:pPr>
    </w:p>
    <w:p w14:paraId="6E7E7FEB" w14:textId="77777777" w:rsidR="00C3534B" w:rsidRPr="00C67C33" w:rsidRDefault="00C3534B" w:rsidP="00695219">
      <w:pPr>
        <w:spacing w:before="120" w:line="280" w:lineRule="atLeast"/>
        <w:rPr>
          <w:rFonts w:ascii="Arial" w:hAnsi="Arial" w:cs="Arial"/>
          <w:sz w:val="24"/>
          <w:szCs w:val="24"/>
        </w:rPr>
      </w:pPr>
    </w:p>
    <w:p w14:paraId="7AADF690" w14:textId="54F67A41" w:rsidR="00C3534B" w:rsidRDefault="00C3534B" w:rsidP="00695219">
      <w:pPr>
        <w:spacing w:before="120" w:line="280" w:lineRule="atLeast"/>
        <w:rPr>
          <w:rFonts w:ascii="Arial" w:hAnsi="Arial" w:cs="Arial"/>
        </w:rPr>
      </w:pPr>
    </w:p>
    <w:p w14:paraId="0EBCFEE3" w14:textId="038AF3D4" w:rsidR="00E2747E" w:rsidRDefault="00E2747E" w:rsidP="00695219">
      <w:pPr>
        <w:spacing w:before="120" w:line="280" w:lineRule="atLeast"/>
        <w:rPr>
          <w:rFonts w:ascii="Arial" w:hAnsi="Arial" w:cs="Arial"/>
        </w:rPr>
      </w:pPr>
    </w:p>
    <w:p w14:paraId="04B8C9B0" w14:textId="401E04DB" w:rsidR="00E2747E" w:rsidRDefault="00E2747E" w:rsidP="00695219">
      <w:pPr>
        <w:spacing w:before="120" w:line="280" w:lineRule="atLeast"/>
        <w:rPr>
          <w:rFonts w:ascii="Arial" w:hAnsi="Arial" w:cs="Arial"/>
        </w:rPr>
      </w:pPr>
    </w:p>
    <w:p w14:paraId="5AAD2DEF" w14:textId="40C804A3" w:rsidR="00E2747E" w:rsidRDefault="00E2747E" w:rsidP="00695219">
      <w:pPr>
        <w:spacing w:before="120" w:line="280" w:lineRule="atLeast"/>
        <w:rPr>
          <w:rFonts w:ascii="Arial" w:hAnsi="Arial" w:cs="Arial"/>
        </w:rPr>
      </w:pPr>
    </w:p>
    <w:p w14:paraId="5466C0BF" w14:textId="04FD4FEF" w:rsidR="00E2747E" w:rsidRDefault="00E2747E" w:rsidP="00695219">
      <w:pPr>
        <w:spacing w:before="120" w:line="280" w:lineRule="atLeast"/>
        <w:rPr>
          <w:rFonts w:ascii="Arial" w:hAnsi="Arial" w:cs="Arial"/>
        </w:rPr>
      </w:pPr>
    </w:p>
    <w:p w14:paraId="04F0308F" w14:textId="0D83A24A" w:rsidR="00E2747E" w:rsidRDefault="00E2747E" w:rsidP="00695219">
      <w:pPr>
        <w:spacing w:before="120" w:line="280" w:lineRule="atLeast"/>
        <w:rPr>
          <w:rFonts w:ascii="Arial" w:hAnsi="Arial" w:cs="Arial"/>
        </w:rPr>
      </w:pPr>
    </w:p>
    <w:p w14:paraId="0DF5972D" w14:textId="21B545DB" w:rsidR="00E2747E" w:rsidRDefault="00E2747E" w:rsidP="00695219">
      <w:pPr>
        <w:spacing w:before="120" w:line="280" w:lineRule="atLeast"/>
        <w:rPr>
          <w:rFonts w:ascii="Arial" w:hAnsi="Arial" w:cs="Arial"/>
        </w:rPr>
      </w:pPr>
    </w:p>
    <w:p w14:paraId="4245B85A" w14:textId="07BE2DB7" w:rsidR="00E2747E" w:rsidRDefault="00E2747E" w:rsidP="00695219">
      <w:pPr>
        <w:spacing w:before="120" w:line="280" w:lineRule="atLeast"/>
        <w:rPr>
          <w:rFonts w:ascii="Arial" w:hAnsi="Arial" w:cs="Arial"/>
        </w:rPr>
      </w:pPr>
    </w:p>
    <w:p w14:paraId="33E2BA0C" w14:textId="77777777" w:rsidR="00E2747E" w:rsidRPr="00C67C33" w:rsidRDefault="00E2747E" w:rsidP="00695219">
      <w:pPr>
        <w:spacing w:before="120" w:line="280" w:lineRule="atLeast"/>
        <w:rPr>
          <w:rFonts w:ascii="Arial" w:hAnsi="Arial" w:cs="Arial"/>
        </w:rPr>
      </w:pPr>
    </w:p>
    <w:p w14:paraId="333AD6AF" w14:textId="77777777" w:rsidR="00695219" w:rsidRPr="00C67C33" w:rsidRDefault="00695219" w:rsidP="00695219">
      <w:pPr>
        <w:spacing w:before="120" w:line="280" w:lineRule="atLeast"/>
        <w:rPr>
          <w:rFonts w:ascii="Arial" w:hAnsi="Arial" w:cs="Arial"/>
          <w:b/>
        </w:rPr>
      </w:pPr>
      <w:r w:rsidRPr="00C67C33">
        <w:rPr>
          <w:rFonts w:ascii="Arial" w:hAnsi="Arial" w:cs="Arial"/>
          <w:b/>
        </w:rPr>
        <w:t xml:space="preserve">Authorised by: </w:t>
      </w:r>
      <w:r w:rsidRPr="00C67C33">
        <w:rPr>
          <w:rFonts w:ascii="Arial" w:hAnsi="Arial" w:cs="Arial"/>
          <w:b/>
        </w:rPr>
        <w:br/>
      </w:r>
      <w:r w:rsidRPr="00C67C33">
        <w:rPr>
          <w:rFonts w:ascii="Arial" w:hAnsi="Arial" w:cs="Arial"/>
        </w:rPr>
        <w:t>Mary Sayers, Chief Executive Officer</w:t>
      </w:r>
    </w:p>
    <w:p w14:paraId="734AD588" w14:textId="3F54B958" w:rsidR="00695219" w:rsidRPr="00C67C33" w:rsidRDefault="00695219" w:rsidP="00695219">
      <w:pPr>
        <w:spacing w:before="120" w:line="280" w:lineRule="atLeast"/>
        <w:rPr>
          <w:rFonts w:ascii="Arial" w:hAnsi="Arial" w:cs="Arial"/>
        </w:rPr>
      </w:pPr>
      <w:r w:rsidRPr="00C67C33">
        <w:rPr>
          <w:rFonts w:ascii="Arial" w:hAnsi="Arial" w:cs="Arial"/>
          <w:b/>
        </w:rPr>
        <w:t xml:space="preserve">Contact details: </w:t>
      </w:r>
      <w:r w:rsidRPr="00C67C33">
        <w:rPr>
          <w:rFonts w:ascii="Arial" w:hAnsi="Arial" w:cs="Arial"/>
          <w:b/>
        </w:rPr>
        <w:br/>
      </w:r>
      <w:r w:rsidRPr="00C67C33">
        <w:rPr>
          <w:rFonts w:ascii="Arial" w:hAnsi="Arial" w:cs="Arial"/>
        </w:rPr>
        <w:t>Children and Young People with Disability Australia</w:t>
      </w:r>
      <w:r w:rsidRPr="00C67C33">
        <w:rPr>
          <w:rFonts w:ascii="Arial" w:hAnsi="Arial" w:cs="Arial"/>
        </w:rPr>
        <w:br/>
        <w:t xml:space="preserve">E. </w:t>
      </w:r>
      <w:hyperlink r:id="rId11" w:history="1">
        <w:r w:rsidRPr="00C67C33">
          <w:rPr>
            <w:rFonts w:ascii="Arial" w:hAnsi="Arial" w:cs="Arial"/>
            <w:color w:val="0563C1" w:themeColor="hyperlink"/>
            <w:u w:val="single"/>
          </w:rPr>
          <w:t>marysayers@cyda.org.au</w:t>
        </w:r>
      </w:hyperlink>
      <w:r w:rsidRPr="00C67C33">
        <w:rPr>
          <w:rFonts w:ascii="Arial" w:hAnsi="Arial" w:cs="Arial"/>
        </w:rPr>
        <w:br/>
        <w:t>P. 03 9417 1025</w:t>
      </w:r>
      <w:r w:rsidRPr="00C67C33">
        <w:rPr>
          <w:rFonts w:ascii="Arial" w:hAnsi="Arial" w:cs="Arial"/>
        </w:rPr>
        <w:br/>
        <w:t xml:space="preserve">W. </w:t>
      </w:r>
      <w:hyperlink r:id="rId12" w:history="1">
        <w:r w:rsidRPr="00C67C33">
          <w:rPr>
            <w:rFonts w:ascii="Arial" w:hAnsi="Arial" w:cs="Arial"/>
            <w:color w:val="0563C1" w:themeColor="hyperlink"/>
            <w:u w:val="single"/>
          </w:rPr>
          <w:t>www.cyda.org.au</w:t>
        </w:r>
      </w:hyperlink>
    </w:p>
    <w:p w14:paraId="5B94514A" w14:textId="77777777" w:rsidR="00695219" w:rsidRPr="00C67C33" w:rsidRDefault="00695219" w:rsidP="00514F43">
      <w:pPr>
        <w:spacing w:before="120" w:line="280" w:lineRule="atLeast"/>
        <w:rPr>
          <w:rFonts w:ascii="Arial" w:eastAsiaTheme="majorEastAsia" w:hAnsi="Arial" w:cs="Arial"/>
          <w:color w:val="538135" w:themeColor="accent6" w:themeShade="BF"/>
          <w:sz w:val="32"/>
          <w:szCs w:val="32"/>
        </w:rPr>
      </w:pPr>
    </w:p>
    <w:p w14:paraId="7DA16C98" w14:textId="77777777" w:rsidR="00E728CC" w:rsidRPr="00C67C33" w:rsidRDefault="00E728CC" w:rsidP="00514F43">
      <w:pPr>
        <w:spacing w:before="120" w:line="280" w:lineRule="atLeast"/>
        <w:rPr>
          <w:rFonts w:ascii="Arial" w:eastAsiaTheme="majorEastAsia" w:hAnsi="Arial" w:cs="Arial"/>
          <w:color w:val="538135" w:themeColor="accent6" w:themeShade="BF"/>
          <w:sz w:val="32"/>
          <w:szCs w:val="32"/>
        </w:rPr>
        <w:sectPr w:rsidR="00E728CC" w:rsidRPr="00C67C33">
          <w:headerReference w:type="default" r:id="rId13"/>
          <w:footerReference w:type="default" r:id="rId14"/>
          <w:pgSz w:w="11906" w:h="16838"/>
          <w:pgMar w:top="1440" w:right="1440" w:bottom="1440" w:left="1440" w:header="708" w:footer="708" w:gutter="0"/>
          <w:cols w:space="708"/>
          <w:docGrid w:linePitch="360"/>
        </w:sectPr>
      </w:pPr>
    </w:p>
    <w:p w14:paraId="789C71B5" w14:textId="2C354196" w:rsidR="00092439" w:rsidRPr="00C67C33" w:rsidRDefault="00C3534B" w:rsidP="00C01045">
      <w:pPr>
        <w:pStyle w:val="Heading1"/>
        <w:rPr>
          <w:rFonts w:cs="Arial"/>
        </w:rPr>
      </w:pPr>
      <w:bookmarkStart w:id="0" w:name="_Toc48312802"/>
      <w:r w:rsidRPr="00C67C33">
        <w:rPr>
          <w:rFonts w:cs="Arial"/>
        </w:rPr>
        <w:lastRenderedPageBreak/>
        <w:t>Introduction</w:t>
      </w:r>
      <w:bookmarkEnd w:id="0"/>
    </w:p>
    <w:p w14:paraId="5434A4E5" w14:textId="77777777" w:rsidR="005847E2" w:rsidRDefault="005847E2" w:rsidP="005847E2">
      <w:pPr>
        <w:spacing w:before="120" w:line="280" w:lineRule="atLeast"/>
        <w:rPr>
          <w:rFonts w:ascii="Arial" w:hAnsi="Arial" w:cs="Arial"/>
        </w:rPr>
      </w:pPr>
      <w:r>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w:t>
      </w:r>
      <w:proofErr w:type="gramStart"/>
      <w:r>
        <w:rPr>
          <w:rFonts w:ascii="Arial" w:hAnsi="Arial" w:cs="Arial"/>
        </w:rPr>
        <w:t>families</w:t>
      </w:r>
      <w:proofErr w:type="gramEnd"/>
      <w:r>
        <w:rPr>
          <w:rFonts w:ascii="Arial" w:hAnsi="Arial" w:cs="Arial"/>
        </w:rPr>
        <w:t xml:space="preserve"> and caregivers of children with disability, with the majority of our members being families. </w:t>
      </w:r>
    </w:p>
    <w:p w14:paraId="02A6B525" w14:textId="77777777" w:rsidR="005847E2" w:rsidRDefault="005847E2" w:rsidP="005847E2">
      <w:pPr>
        <w:spacing w:before="120" w:line="280" w:lineRule="atLeast"/>
        <w:rPr>
          <w:rFonts w:ascii="Arial" w:hAnsi="Arial" w:cs="Arial"/>
        </w:rPr>
      </w:pPr>
      <w:r>
        <w:rPr>
          <w:rFonts w:ascii="Arial" w:hAnsi="Arial" w:cs="Arial"/>
        </w:rPr>
        <w:t>CYDA’s purpose is to advocate systemically at the national level for the rights and interests of all children and young people with disability living in Australia. To do this, we focus on the following:</w:t>
      </w:r>
    </w:p>
    <w:p w14:paraId="507FF8A6" w14:textId="77777777" w:rsidR="005847E2" w:rsidRDefault="005847E2" w:rsidP="005847E2">
      <w:pPr>
        <w:numPr>
          <w:ilvl w:val="0"/>
          <w:numId w:val="2"/>
        </w:numPr>
        <w:spacing w:before="120" w:line="280" w:lineRule="atLeast"/>
        <w:ind w:left="714" w:hanging="357"/>
        <w:rPr>
          <w:rFonts w:ascii="Arial" w:hAnsi="Arial" w:cs="Arial"/>
        </w:rPr>
      </w:pPr>
      <w:r>
        <w:rPr>
          <w:rFonts w:ascii="Arial" w:hAnsi="Arial" w:cs="Arial"/>
        </w:rPr>
        <w:t>Listening and responding to the voices and experiences of children and young people with disability</w:t>
      </w:r>
    </w:p>
    <w:p w14:paraId="5872D897" w14:textId="77777777" w:rsidR="005847E2" w:rsidRDefault="005847E2" w:rsidP="005847E2">
      <w:pPr>
        <w:numPr>
          <w:ilvl w:val="0"/>
          <w:numId w:val="2"/>
        </w:numPr>
        <w:spacing w:before="120" w:line="280" w:lineRule="atLeast"/>
        <w:ind w:left="714" w:hanging="357"/>
        <w:rPr>
          <w:rFonts w:ascii="Arial" w:hAnsi="Arial" w:cs="Arial"/>
        </w:rPr>
      </w:pPr>
      <w:r>
        <w:rPr>
          <w:rFonts w:ascii="Arial" w:hAnsi="Arial" w:cs="Arial"/>
        </w:rPr>
        <w:t xml:space="preserve">Advocating for children and young people with disability for equal opportunities, </w:t>
      </w:r>
      <w:proofErr w:type="gramStart"/>
      <w:r>
        <w:rPr>
          <w:rFonts w:ascii="Arial" w:hAnsi="Arial" w:cs="Arial"/>
        </w:rPr>
        <w:t>participation</w:t>
      </w:r>
      <w:proofErr w:type="gramEnd"/>
      <w:r>
        <w:rPr>
          <w:rFonts w:ascii="Arial" w:hAnsi="Arial" w:cs="Arial"/>
        </w:rPr>
        <w:t xml:space="preserve"> and inclusion in the Australian community</w:t>
      </w:r>
    </w:p>
    <w:p w14:paraId="48EBF2FE" w14:textId="77777777" w:rsidR="005847E2" w:rsidRDefault="005847E2" w:rsidP="005847E2">
      <w:pPr>
        <w:numPr>
          <w:ilvl w:val="0"/>
          <w:numId w:val="2"/>
        </w:numPr>
        <w:spacing w:before="120" w:line="280" w:lineRule="atLeast"/>
        <w:ind w:left="714" w:hanging="357"/>
        <w:rPr>
          <w:rFonts w:ascii="Arial" w:hAnsi="Arial" w:cs="Arial"/>
        </w:rPr>
      </w:pPr>
      <w:r>
        <w:rPr>
          <w:rFonts w:ascii="Arial" w:hAnsi="Arial" w:cs="Arial"/>
        </w:rPr>
        <w:t xml:space="preserve">Educating national public </w:t>
      </w:r>
      <w:proofErr w:type="gramStart"/>
      <w:r>
        <w:rPr>
          <w:rFonts w:ascii="Arial" w:hAnsi="Arial" w:cs="Arial"/>
        </w:rPr>
        <w:t>policy-makers</w:t>
      </w:r>
      <w:proofErr w:type="gramEnd"/>
      <w:r>
        <w:rPr>
          <w:rFonts w:ascii="Arial" w:hAnsi="Arial" w:cs="Arial"/>
        </w:rPr>
        <w:t xml:space="preserve"> and the broader community about the experiences of children and young people with disability</w:t>
      </w:r>
    </w:p>
    <w:p w14:paraId="1ED5E7D2" w14:textId="77777777" w:rsidR="005847E2" w:rsidRDefault="005847E2" w:rsidP="005847E2">
      <w:pPr>
        <w:numPr>
          <w:ilvl w:val="0"/>
          <w:numId w:val="2"/>
        </w:numPr>
        <w:spacing w:before="120" w:line="280" w:lineRule="atLeast"/>
        <w:ind w:left="714" w:hanging="357"/>
        <w:rPr>
          <w:rFonts w:ascii="Arial" w:hAnsi="Arial" w:cs="Arial"/>
        </w:rPr>
      </w:pPr>
      <w:r>
        <w:rPr>
          <w:rFonts w:ascii="Arial" w:hAnsi="Arial" w:cs="Arial"/>
        </w:rPr>
        <w:t>Informing children and young people with disability, their families and caregivers about their citizenship rights and entitlements</w:t>
      </w:r>
    </w:p>
    <w:p w14:paraId="0F2B2C33" w14:textId="77777777" w:rsidR="005847E2" w:rsidRDefault="005847E2" w:rsidP="005847E2">
      <w:pPr>
        <w:numPr>
          <w:ilvl w:val="0"/>
          <w:numId w:val="2"/>
        </w:numPr>
        <w:spacing w:before="120" w:line="280" w:lineRule="atLeast"/>
        <w:ind w:left="714" w:hanging="357"/>
        <w:rPr>
          <w:rFonts w:ascii="Arial" w:hAnsi="Arial" w:cs="Arial"/>
        </w:rPr>
      </w:pPr>
      <w:r>
        <w:rPr>
          <w:rFonts w:ascii="Arial" w:hAnsi="Arial" w:cs="Arial"/>
        </w:rPr>
        <w:t>Celebrating the successes and achievements of children and young people with disability.</w:t>
      </w:r>
    </w:p>
    <w:p w14:paraId="064B49E4" w14:textId="77777777" w:rsidR="005847E2" w:rsidRPr="00266928" w:rsidRDefault="005847E2" w:rsidP="005847E2">
      <w:pPr>
        <w:spacing w:before="120" w:after="120" w:line="264" w:lineRule="auto"/>
        <w:rPr>
          <w:rFonts w:ascii="Arial" w:hAnsi="Arial" w:cs="Arial"/>
        </w:rPr>
      </w:pPr>
      <w:r w:rsidRPr="00266928">
        <w:rPr>
          <w:rFonts w:ascii="Arial" w:hAnsi="Arial" w:cs="Arial"/>
        </w:rPr>
        <w:t>Our work includes specific funding and activities around the Royal Commission into Violence, Abuse, Neglect and Exploitation of People with Disability, as well as the National Redress Scheme supporting survivors of child sexual abuse. As such, abuse and neglect form a significant part of our policy and advocacy work, as do questions of what constitutes a ‘good quality’ disability service.</w:t>
      </w:r>
      <w:r w:rsidRPr="006A3769">
        <w:rPr>
          <w:rFonts w:ascii="Arial" w:hAnsi="Arial" w:cs="Arial"/>
        </w:rPr>
        <w:t xml:space="preserve"> </w:t>
      </w:r>
    </w:p>
    <w:p w14:paraId="567ACCBC" w14:textId="115E6D7F" w:rsidR="002F48A7" w:rsidRPr="00C67C33" w:rsidRDefault="005847E2" w:rsidP="005847E2">
      <w:pPr>
        <w:spacing w:before="240" w:after="0" w:line="280" w:lineRule="atLeast"/>
        <w:rPr>
          <w:rFonts w:ascii="Arial" w:hAnsi="Arial" w:cs="Arial"/>
        </w:rPr>
      </w:pPr>
      <w:r>
        <w:rPr>
          <w:rFonts w:ascii="Arial" w:hAnsi="Arial" w:cs="Arial"/>
        </w:rPr>
        <w:t>CYDA appreciates the opportunity to provide this submission to the Joint Standing Committee on the National Disability Insurance Scheme (NDIS), outlining our concerns with the current safeguarding and rights-protection environment for children and young people with disability across Australia. We have provided similar information to the SA Safeguarding Taskforce</w:t>
      </w:r>
      <w:r w:rsidRPr="006A3769">
        <w:rPr>
          <w:rFonts w:ascii="Arial" w:hAnsi="Arial" w:cs="Arial"/>
          <w:vertAlign w:val="superscript"/>
        </w:rPr>
        <w:footnoteReference w:id="1"/>
      </w:r>
      <w:r>
        <w:rPr>
          <w:rFonts w:ascii="Arial" w:hAnsi="Arial" w:cs="Arial"/>
        </w:rPr>
        <w:t xml:space="preserve"> and the independent review of the NDIS Quality and Safeguards Commission being undertaken by Mr Alan Robertson.</w:t>
      </w:r>
    </w:p>
    <w:p w14:paraId="7B400F54" w14:textId="77777777" w:rsidR="008F05AD" w:rsidRDefault="008F05AD">
      <w:pPr>
        <w:rPr>
          <w:rFonts w:ascii="Arial" w:eastAsiaTheme="majorEastAsia" w:hAnsi="Arial" w:cs="Arial"/>
          <w:color w:val="538135" w:themeColor="accent6" w:themeShade="BF"/>
          <w:sz w:val="32"/>
          <w:szCs w:val="32"/>
        </w:rPr>
      </w:pPr>
      <w:r>
        <w:rPr>
          <w:rFonts w:cs="Arial"/>
        </w:rPr>
        <w:br w:type="page"/>
      </w:r>
    </w:p>
    <w:p w14:paraId="01581B2C" w14:textId="27E79B5D" w:rsidR="001F3EB4" w:rsidRPr="00C67C33" w:rsidRDefault="0041516E" w:rsidP="008972FF">
      <w:pPr>
        <w:pStyle w:val="Heading1"/>
        <w:rPr>
          <w:rFonts w:cs="Arial"/>
        </w:rPr>
      </w:pPr>
      <w:bookmarkStart w:id="1" w:name="_Toc48312803"/>
      <w:r w:rsidRPr="005F6F4A">
        <w:rPr>
          <w:rFonts w:cs="Arial"/>
        </w:rPr>
        <w:lastRenderedPageBreak/>
        <w:t>Our r</w:t>
      </w:r>
      <w:r w:rsidR="000711C6" w:rsidRPr="005F6F4A">
        <w:rPr>
          <w:rFonts w:cs="Arial"/>
        </w:rPr>
        <w:t>ecommendations</w:t>
      </w:r>
      <w:bookmarkEnd w:id="1"/>
    </w:p>
    <w:p w14:paraId="7B15B307" w14:textId="77777777" w:rsidR="005847E2" w:rsidRPr="00A13063" w:rsidRDefault="005847E2" w:rsidP="005847E2">
      <w:pPr>
        <w:pStyle w:val="ListParagraph"/>
        <w:numPr>
          <w:ilvl w:val="0"/>
          <w:numId w:val="35"/>
        </w:numPr>
        <w:spacing w:before="360" w:after="360" w:line="276" w:lineRule="auto"/>
        <w:ind w:left="714" w:hanging="357"/>
        <w:contextualSpacing w:val="0"/>
        <w:rPr>
          <w:rFonts w:ascii="Arial" w:hAnsi="Arial" w:cs="Arial"/>
          <w:b/>
          <w:bCs/>
        </w:rPr>
      </w:pPr>
      <w:r>
        <w:rPr>
          <w:rFonts w:ascii="Arial" w:hAnsi="Arial" w:cs="Arial"/>
        </w:rPr>
        <w:t>Address oversight gaps between national and state/territory systems, including the NDIS Quality and Safeguards Commission</w:t>
      </w:r>
    </w:p>
    <w:p w14:paraId="0A821ACB" w14:textId="77777777" w:rsidR="005847E2" w:rsidRPr="00A13063" w:rsidRDefault="005847E2" w:rsidP="005847E2">
      <w:pPr>
        <w:pStyle w:val="ListParagraph"/>
        <w:numPr>
          <w:ilvl w:val="0"/>
          <w:numId w:val="35"/>
        </w:numPr>
        <w:spacing w:before="360" w:after="360" w:line="276" w:lineRule="auto"/>
        <w:ind w:left="714" w:hanging="357"/>
        <w:contextualSpacing w:val="0"/>
        <w:rPr>
          <w:rFonts w:ascii="Arial" w:hAnsi="Arial" w:cs="Arial"/>
          <w:b/>
          <w:bCs/>
        </w:rPr>
      </w:pPr>
      <w:r>
        <w:rPr>
          <w:rFonts w:ascii="Arial" w:hAnsi="Arial" w:cs="Arial"/>
        </w:rPr>
        <w:t>Harmonise legislation and practice to protect the rights of children and young people with disability, without losing current pockets of good practice</w:t>
      </w:r>
    </w:p>
    <w:p w14:paraId="3C4A8BFA" w14:textId="77777777" w:rsidR="005847E2" w:rsidRPr="00A13063" w:rsidRDefault="005847E2" w:rsidP="005847E2">
      <w:pPr>
        <w:pStyle w:val="ListParagraph"/>
        <w:numPr>
          <w:ilvl w:val="0"/>
          <w:numId w:val="35"/>
        </w:numPr>
        <w:spacing w:before="360" w:after="360" w:line="276" w:lineRule="auto"/>
        <w:ind w:left="714" w:hanging="357"/>
        <w:contextualSpacing w:val="0"/>
        <w:rPr>
          <w:rFonts w:ascii="Arial" w:hAnsi="Arial" w:cs="Arial"/>
          <w:b/>
          <w:bCs/>
        </w:rPr>
      </w:pPr>
      <w:r>
        <w:rPr>
          <w:rFonts w:ascii="Arial" w:hAnsi="Arial" w:cs="Arial"/>
        </w:rPr>
        <w:t>Deliver assertive outreach and community engagement about the NDIS Quality and Safeguards Commission, and ensure communication is targeted to service users</w:t>
      </w:r>
    </w:p>
    <w:p w14:paraId="12E8D26F" w14:textId="77777777" w:rsidR="005847E2" w:rsidRPr="00233A93" w:rsidRDefault="005847E2" w:rsidP="005847E2">
      <w:pPr>
        <w:pStyle w:val="ListParagraph"/>
        <w:numPr>
          <w:ilvl w:val="0"/>
          <w:numId w:val="35"/>
        </w:numPr>
        <w:spacing w:before="360" w:after="360" w:line="276" w:lineRule="auto"/>
        <w:ind w:left="714" w:hanging="357"/>
        <w:contextualSpacing w:val="0"/>
        <w:rPr>
          <w:rFonts w:ascii="Arial" w:hAnsi="Arial" w:cs="Arial"/>
          <w:b/>
          <w:bCs/>
        </w:rPr>
      </w:pPr>
      <w:r>
        <w:rPr>
          <w:rFonts w:ascii="Arial" w:hAnsi="Arial" w:cs="Arial"/>
        </w:rPr>
        <w:t xml:space="preserve">Implement the recommendations of the Australian Human Rights Commission’s 2018 report, </w:t>
      </w:r>
      <w:r>
        <w:rPr>
          <w:rFonts w:ascii="Arial" w:hAnsi="Arial" w:cs="Arial"/>
          <w:i/>
          <w:iCs/>
        </w:rPr>
        <w:t>A Future Without Violence</w:t>
      </w:r>
      <w:r>
        <w:rPr>
          <w:rFonts w:ascii="Arial" w:hAnsi="Arial" w:cs="Arial"/>
        </w:rPr>
        <w:t>.</w:t>
      </w:r>
    </w:p>
    <w:p w14:paraId="08DDB349" w14:textId="77777777" w:rsidR="005847E2" w:rsidRPr="00233A93" w:rsidRDefault="005847E2" w:rsidP="005847E2">
      <w:pPr>
        <w:pStyle w:val="ListParagraph"/>
        <w:numPr>
          <w:ilvl w:val="0"/>
          <w:numId w:val="35"/>
        </w:numPr>
        <w:spacing w:before="360" w:after="360" w:line="276" w:lineRule="auto"/>
        <w:ind w:left="714" w:hanging="357"/>
        <w:contextualSpacing w:val="0"/>
        <w:rPr>
          <w:rFonts w:ascii="Arial" w:hAnsi="Arial" w:cs="Arial"/>
          <w:b/>
          <w:bCs/>
        </w:rPr>
      </w:pPr>
      <w:r>
        <w:rPr>
          <w:rFonts w:ascii="Arial" w:hAnsi="Arial" w:cs="Arial"/>
        </w:rPr>
        <w:t xml:space="preserve">Invest in long-term prevention work to change community attitudes towards people with disability and stop violence and abuse before it starts. </w:t>
      </w:r>
    </w:p>
    <w:p w14:paraId="49FBF6EF" w14:textId="118F93CD" w:rsidR="00415A28" w:rsidRPr="00C67C33" w:rsidRDefault="00415A28" w:rsidP="005A7507">
      <w:pPr>
        <w:spacing w:before="240" w:after="0" w:line="280" w:lineRule="atLeast"/>
        <w:rPr>
          <w:rFonts w:ascii="Arial" w:hAnsi="Arial" w:cs="Arial"/>
          <w:b/>
          <w:sz w:val="24"/>
          <w:szCs w:val="24"/>
        </w:rPr>
      </w:pPr>
    </w:p>
    <w:p w14:paraId="43011112" w14:textId="697138C7" w:rsidR="00FA2C10" w:rsidRPr="00C67C33" w:rsidRDefault="00AA5792" w:rsidP="00C01045">
      <w:pPr>
        <w:rPr>
          <w:rFonts w:ascii="Arial" w:eastAsiaTheme="majorEastAsia" w:hAnsi="Arial" w:cs="Arial"/>
          <w:color w:val="538135" w:themeColor="accent6" w:themeShade="BF"/>
          <w:sz w:val="32"/>
          <w:szCs w:val="32"/>
        </w:rPr>
      </w:pPr>
      <w:r w:rsidRPr="00C67C33">
        <w:rPr>
          <w:rFonts w:ascii="Arial" w:eastAsiaTheme="majorEastAsia" w:hAnsi="Arial" w:cs="Arial"/>
          <w:color w:val="538135" w:themeColor="accent6" w:themeShade="BF"/>
          <w:sz w:val="32"/>
          <w:szCs w:val="32"/>
        </w:rPr>
        <w:br w:type="page"/>
      </w:r>
    </w:p>
    <w:p w14:paraId="4BB1B37B" w14:textId="1776018D" w:rsidR="005A7507" w:rsidRDefault="005847E2" w:rsidP="007A4421">
      <w:pPr>
        <w:pStyle w:val="Heading1"/>
        <w:spacing w:after="240"/>
        <w:rPr>
          <w:rFonts w:cs="Arial"/>
        </w:rPr>
      </w:pPr>
      <w:bookmarkStart w:id="2" w:name="_Toc48312804"/>
      <w:r>
        <w:rPr>
          <w:rFonts w:cs="Arial"/>
        </w:rPr>
        <w:lastRenderedPageBreak/>
        <w:t>Key concerns and areas for action</w:t>
      </w:r>
      <w:bookmarkEnd w:id="2"/>
    </w:p>
    <w:p w14:paraId="25263AD7" w14:textId="77777777" w:rsidR="005847E2" w:rsidRDefault="005847E2" w:rsidP="00E5186C">
      <w:pPr>
        <w:spacing w:before="120" w:after="120" w:line="276" w:lineRule="auto"/>
        <w:rPr>
          <w:rFonts w:ascii="Arial" w:hAnsi="Arial" w:cs="Arial"/>
        </w:rPr>
      </w:pPr>
      <w:r>
        <w:rPr>
          <w:rFonts w:ascii="Arial" w:hAnsi="Arial" w:cs="Arial"/>
        </w:rPr>
        <w:t>U</w:t>
      </w:r>
      <w:r w:rsidRPr="00266928">
        <w:rPr>
          <w:rFonts w:ascii="Arial" w:hAnsi="Arial" w:cs="Arial"/>
        </w:rPr>
        <w:t xml:space="preserve">rgent </w:t>
      </w:r>
      <w:r>
        <w:rPr>
          <w:rFonts w:ascii="Arial" w:hAnsi="Arial" w:cs="Arial"/>
        </w:rPr>
        <w:t xml:space="preserve">changes need to be made to the way that the rights of people with disability – including the rights to be free from violence, </w:t>
      </w:r>
      <w:proofErr w:type="gramStart"/>
      <w:r>
        <w:rPr>
          <w:rFonts w:ascii="Arial" w:hAnsi="Arial" w:cs="Arial"/>
        </w:rPr>
        <w:t>abuse</w:t>
      </w:r>
      <w:proofErr w:type="gramEnd"/>
      <w:r>
        <w:rPr>
          <w:rFonts w:ascii="Arial" w:hAnsi="Arial" w:cs="Arial"/>
        </w:rPr>
        <w:t xml:space="preserve"> and exploitation</w:t>
      </w:r>
      <w:r>
        <w:rPr>
          <w:rStyle w:val="FootnoteReference"/>
          <w:rFonts w:ascii="Arial" w:hAnsi="Arial" w:cs="Arial"/>
        </w:rPr>
        <w:footnoteReference w:id="2"/>
      </w:r>
      <w:r>
        <w:rPr>
          <w:rFonts w:ascii="Arial" w:hAnsi="Arial" w:cs="Arial"/>
        </w:rPr>
        <w:t xml:space="preserve"> – are upheld and protected the country. This includes the way that current safeguarding arrangements are overseen and implemented. </w:t>
      </w:r>
    </w:p>
    <w:p w14:paraId="46AC21EC" w14:textId="77777777" w:rsidR="005847E2" w:rsidRDefault="005847E2" w:rsidP="00E5186C">
      <w:pPr>
        <w:spacing w:before="120" w:after="120" w:line="276" w:lineRule="auto"/>
        <w:rPr>
          <w:rFonts w:ascii="Arial" w:hAnsi="Arial" w:cs="Arial"/>
        </w:rPr>
      </w:pPr>
      <w:r>
        <w:rPr>
          <w:rFonts w:ascii="Arial" w:hAnsi="Arial" w:cs="Arial"/>
        </w:rPr>
        <w:t xml:space="preserve">The gaps in the current approaches have been brought to the community’s attention once again following the tragic death of Ms Ann-Marie Smith in South Australia earlier this year. Like many others, CYDA was incredibly saddened to hear of Ms Smith’s passing and how she had been treated leading up to her death. This points to a significant failure of various service systems and oversight mechanisms, and we are pleased there are </w:t>
      </w:r>
      <w:proofErr w:type="gramStart"/>
      <w:r>
        <w:rPr>
          <w:rFonts w:ascii="Arial" w:hAnsi="Arial" w:cs="Arial"/>
        </w:rPr>
        <w:t>a number of</w:t>
      </w:r>
      <w:proofErr w:type="gramEnd"/>
      <w:r>
        <w:rPr>
          <w:rFonts w:ascii="Arial" w:hAnsi="Arial" w:cs="Arial"/>
        </w:rPr>
        <w:t xml:space="preserve"> inquiries and reviews currently examining these systems.</w:t>
      </w:r>
    </w:p>
    <w:p w14:paraId="549E3014" w14:textId="77777777" w:rsidR="005847E2" w:rsidRDefault="005847E2" w:rsidP="00E5186C">
      <w:pPr>
        <w:spacing w:before="120" w:after="120" w:line="276" w:lineRule="auto"/>
        <w:rPr>
          <w:rFonts w:ascii="Arial" w:hAnsi="Arial" w:cs="Arial"/>
        </w:rPr>
      </w:pPr>
      <w:r>
        <w:rPr>
          <w:rFonts w:ascii="Arial" w:hAnsi="Arial" w:cs="Arial"/>
        </w:rPr>
        <w:t xml:space="preserve">CYDA has serious concerns about the implementation of the United Nations Convention on the Rights of Persons with Disabilities and the systemic frameworks supporting the rights of children and adults with disability across Australia. For example, we do not have harmonised legislation about who provides safeguarding and protections for children and young people with disability against violence, </w:t>
      </w:r>
      <w:proofErr w:type="gramStart"/>
      <w:r>
        <w:rPr>
          <w:rFonts w:ascii="Arial" w:hAnsi="Arial" w:cs="Arial"/>
        </w:rPr>
        <w:t>abuse</w:t>
      </w:r>
      <w:proofErr w:type="gramEnd"/>
      <w:r>
        <w:rPr>
          <w:rFonts w:ascii="Arial" w:hAnsi="Arial" w:cs="Arial"/>
        </w:rPr>
        <w:t xml:space="preserve"> and neglect. There is also significant variation between jurisdictions with regards to complaints, reporting, and investigation mechanisms. </w:t>
      </w:r>
    </w:p>
    <w:p w14:paraId="53A744D5" w14:textId="77777777" w:rsidR="005847E2" w:rsidRDefault="005847E2" w:rsidP="00E5186C">
      <w:pPr>
        <w:spacing w:before="120" w:after="120" w:line="276" w:lineRule="auto"/>
        <w:rPr>
          <w:rFonts w:ascii="Arial" w:hAnsi="Arial" w:cs="Arial"/>
        </w:rPr>
      </w:pPr>
      <w:r>
        <w:rPr>
          <w:rFonts w:ascii="Arial" w:hAnsi="Arial" w:cs="Arial"/>
        </w:rPr>
        <w:t>We are concerned about the current lack of clarity and other issues around intersections between the NDIA, the NDIS Quality and Safeguards Commission, and other systems affecting children and young people with disability, including education, health, justice, and child protection. Continuing interface issues for children and young people and their families/caregivers navigating these systems lead to poorer outcomes and can contribute to tragic outcomes for children who fall through the cracks between systems, as we saw in Queensland recently with the terrible treatment and death of Willow Dunn and the shocking abuse experienced by two autistic brothers.</w:t>
      </w:r>
      <w:r>
        <w:rPr>
          <w:rFonts w:ascii="Arial" w:hAnsi="Arial" w:cs="Arial"/>
          <w:vertAlign w:val="superscript"/>
        </w:rPr>
        <w:footnoteReference w:id="3"/>
      </w:r>
      <w:r>
        <w:rPr>
          <w:rFonts w:ascii="Arial" w:hAnsi="Arial" w:cs="Arial"/>
        </w:rPr>
        <w:t xml:space="preserve"> </w:t>
      </w:r>
    </w:p>
    <w:p w14:paraId="530889DA" w14:textId="77777777" w:rsidR="005847E2" w:rsidRDefault="005847E2" w:rsidP="00E5186C">
      <w:pPr>
        <w:spacing w:before="120" w:after="120" w:line="276" w:lineRule="auto"/>
        <w:rPr>
          <w:rFonts w:ascii="Arial" w:hAnsi="Arial" w:cs="Arial"/>
        </w:rPr>
      </w:pPr>
      <w:r>
        <w:rPr>
          <w:rFonts w:ascii="Arial" w:hAnsi="Arial" w:cs="Arial"/>
        </w:rPr>
        <w:t xml:space="preserve">We know that children and young people with disability are over-represented in child protection, services, out-of-home care and youth justice, but there is insufficient monitoring and oversight or accountability for reporting to identify the systemic abuse and neglect that has either led them to these systems or is an outcome of their involvement in the systems. </w:t>
      </w:r>
    </w:p>
    <w:p w14:paraId="099D4E4F" w14:textId="77777777" w:rsidR="005847E2" w:rsidRDefault="005847E2" w:rsidP="00E5186C">
      <w:pPr>
        <w:spacing w:before="120" w:after="120" w:line="276" w:lineRule="auto"/>
        <w:rPr>
          <w:rFonts w:ascii="Arial" w:hAnsi="Arial" w:cs="Arial"/>
        </w:rPr>
      </w:pPr>
      <w:r>
        <w:rPr>
          <w:rFonts w:ascii="Arial" w:hAnsi="Arial" w:cs="Arial"/>
        </w:rPr>
        <w:t xml:space="preserve">There is considerable risk that further harm will occur to children and adults with disability without change to the ways that safeguarding mechanisms are currently implemented and overseen. </w:t>
      </w:r>
    </w:p>
    <w:p w14:paraId="72D1E591" w14:textId="77777777" w:rsidR="005847E2" w:rsidRDefault="005847E2" w:rsidP="00E5186C">
      <w:pPr>
        <w:spacing w:before="120" w:after="120" w:line="276" w:lineRule="auto"/>
        <w:rPr>
          <w:rFonts w:ascii="Arial" w:hAnsi="Arial" w:cs="Arial"/>
        </w:rPr>
      </w:pPr>
      <w:r>
        <w:rPr>
          <w:rFonts w:ascii="Arial" w:hAnsi="Arial" w:cs="Arial"/>
        </w:rPr>
        <w:t>In terms of the specific role of the NDIS Quality and Safeguards Commission, CYDA considers there is a strong need for the Commission to undertake more assertive outreach and proactive community education around its role and powers. This could include, for instance, providing examples of what an individual is likely to expect if they make a complaint or report to the Commission.</w:t>
      </w:r>
    </w:p>
    <w:p w14:paraId="7960E6B4" w14:textId="77777777" w:rsidR="005847E2" w:rsidRDefault="005847E2" w:rsidP="00E5186C">
      <w:pPr>
        <w:spacing w:before="120" w:after="120" w:line="276" w:lineRule="auto"/>
        <w:rPr>
          <w:rFonts w:ascii="Arial" w:hAnsi="Arial" w:cs="Arial"/>
        </w:rPr>
      </w:pPr>
      <w:r>
        <w:rPr>
          <w:rFonts w:ascii="Arial" w:hAnsi="Arial" w:cs="Arial"/>
        </w:rPr>
        <w:t xml:space="preserve">We are concerned that much of the Commission’s external communications work focuses on informing providers rather than people with disability and their families, </w:t>
      </w:r>
      <w:proofErr w:type="gramStart"/>
      <w:r>
        <w:rPr>
          <w:rFonts w:ascii="Arial" w:hAnsi="Arial" w:cs="Arial"/>
        </w:rPr>
        <w:t>caregivers</w:t>
      </w:r>
      <w:proofErr w:type="gramEnd"/>
      <w:r>
        <w:rPr>
          <w:rFonts w:ascii="Arial" w:hAnsi="Arial" w:cs="Arial"/>
        </w:rPr>
        <w:t xml:space="preserve"> and advocates (service users). We are also concerned about lack of monitoring, oversight and assertive outreach </w:t>
      </w:r>
      <w:r>
        <w:rPr>
          <w:rFonts w:ascii="Arial" w:hAnsi="Arial" w:cs="Arial"/>
        </w:rPr>
        <w:lastRenderedPageBreak/>
        <w:t>for children and young people with disability who may be more vulnerable to violence and abuse during the COVID-19 pandemic and associated lockdowns.</w:t>
      </w:r>
    </w:p>
    <w:p w14:paraId="157F917D" w14:textId="06CF1353" w:rsidR="005847E2" w:rsidRDefault="005847E2" w:rsidP="00E5186C">
      <w:pPr>
        <w:spacing w:before="120" w:after="120" w:line="276" w:lineRule="auto"/>
        <w:rPr>
          <w:rFonts w:ascii="Arial" w:hAnsi="Arial" w:cs="Arial"/>
        </w:rPr>
      </w:pPr>
      <w:r>
        <w:rPr>
          <w:rFonts w:ascii="Arial" w:hAnsi="Arial" w:cs="Arial"/>
        </w:rPr>
        <w:t xml:space="preserve">There has already been much work examining the key elements of effective quality, safeguarding and oversight mechanisms in the disability sector, as well as other sectors including aged care. CYDA draws the Committee’s attention to the 2018 report from the Australian Human Rights Commission, </w:t>
      </w:r>
      <w:r>
        <w:rPr>
          <w:rFonts w:ascii="Arial" w:hAnsi="Arial" w:cs="Arial"/>
          <w:i/>
          <w:iCs/>
        </w:rPr>
        <w:t>A Future Without Violence: Quality, safeguarding and oversight to prevent and address violence against people with disability in institutional settings</w:t>
      </w:r>
      <w:r>
        <w:rPr>
          <w:rFonts w:ascii="Arial" w:hAnsi="Arial" w:cs="Arial"/>
        </w:rPr>
        <w:t>;</w:t>
      </w:r>
      <w:r w:rsidR="007F7E62">
        <w:rPr>
          <w:rStyle w:val="FootnoteReference"/>
          <w:rFonts w:ascii="Arial" w:hAnsi="Arial" w:cs="Arial"/>
        </w:rPr>
        <w:footnoteReference w:id="4"/>
      </w:r>
      <w:r>
        <w:rPr>
          <w:rFonts w:ascii="Arial" w:hAnsi="Arial" w:cs="Arial"/>
        </w:rPr>
        <w:t xml:space="preserve"> and in particular, to two of the report’s recommendations: </w:t>
      </w:r>
    </w:p>
    <w:p w14:paraId="59FD12E5" w14:textId="77777777" w:rsidR="005847E2" w:rsidRDefault="005847E2" w:rsidP="00E5186C">
      <w:pPr>
        <w:pStyle w:val="ListParagraph"/>
        <w:numPr>
          <w:ilvl w:val="0"/>
          <w:numId w:val="36"/>
        </w:numPr>
        <w:spacing w:before="120" w:after="120" w:line="276" w:lineRule="auto"/>
        <w:rPr>
          <w:rFonts w:ascii="Arial" w:hAnsi="Arial" w:cs="Arial"/>
        </w:rPr>
      </w:pPr>
      <w:r w:rsidRPr="00DE0021">
        <w:rPr>
          <w:rFonts w:ascii="Arial" w:hAnsi="Arial" w:cs="Arial"/>
        </w:rPr>
        <w:t>Quality, safeguarding and oversight mechanisms in the disability and mainstream sectors should incorporate and implement the essential elements of a quality, safeguarding and oversight system identified in Chapter 2 of this report</w:t>
      </w:r>
    </w:p>
    <w:p w14:paraId="5CCAB4A8" w14:textId="77777777" w:rsidR="005847E2" w:rsidRPr="00DE0021" w:rsidRDefault="005847E2" w:rsidP="00E5186C">
      <w:pPr>
        <w:pStyle w:val="ListParagraph"/>
        <w:numPr>
          <w:ilvl w:val="0"/>
          <w:numId w:val="36"/>
        </w:numPr>
        <w:spacing w:before="120" w:after="120" w:line="276" w:lineRule="auto"/>
        <w:rPr>
          <w:rFonts w:ascii="Arial" w:hAnsi="Arial" w:cs="Arial"/>
        </w:rPr>
      </w:pPr>
      <w:r w:rsidRPr="00DE0021">
        <w:rPr>
          <w:rFonts w:ascii="Arial" w:hAnsi="Arial" w:cs="Arial"/>
        </w:rPr>
        <w:t xml:space="preserve">The NDIS Commission should work with the </w:t>
      </w:r>
      <w:r>
        <w:rPr>
          <w:rFonts w:ascii="Arial" w:hAnsi="Arial" w:cs="Arial"/>
        </w:rPr>
        <w:t xml:space="preserve">[Australian Human Rights] </w:t>
      </w:r>
      <w:r w:rsidRPr="00DE0021">
        <w:rPr>
          <w:rFonts w:ascii="Arial" w:hAnsi="Arial" w:cs="Arial"/>
        </w:rPr>
        <w:t>Commission within 18 months of the release of this report to identify the extent to which the essential elements identified in Chapter 2 have been implemented through the Safeguarding Framework and NDIS Commission</w:t>
      </w:r>
      <w:r>
        <w:rPr>
          <w:rFonts w:ascii="Arial" w:hAnsi="Arial" w:cs="Arial"/>
        </w:rPr>
        <w:t>…</w:t>
      </w:r>
    </w:p>
    <w:p w14:paraId="67816639" w14:textId="77777777" w:rsidR="005847E2" w:rsidRDefault="005847E2" w:rsidP="00E5186C">
      <w:pPr>
        <w:spacing w:before="120" w:after="120" w:line="276" w:lineRule="auto"/>
        <w:rPr>
          <w:rFonts w:ascii="Arial" w:hAnsi="Arial" w:cs="Arial"/>
        </w:rPr>
      </w:pPr>
      <w:r>
        <w:rPr>
          <w:rFonts w:ascii="Arial" w:hAnsi="Arial" w:cs="Arial"/>
        </w:rPr>
        <w:t>The ‘essential elements’ identified by the Commission’s report are:</w:t>
      </w:r>
    </w:p>
    <w:p w14:paraId="6A3B86B3" w14:textId="77777777" w:rsidR="005847E2" w:rsidRPr="004B7AFE" w:rsidRDefault="005847E2" w:rsidP="00E5186C">
      <w:pPr>
        <w:pStyle w:val="ListParagraph"/>
        <w:numPr>
          <w:ilvl w:val="0"/>
          <w:numId w:val="37"/>
        </w:numPr>
        <w:spacing w:before="120" w:after="120" w:line="276" w:lineRule="auto"/>
        <w:rPr>
          <w:rFonts w:ascii="Arial" w:hAnsi="Arial" w:cs="Arial"/>
        </w:rPr>
      </w:pPr>
      <w:r w:rsidRPr="004B7AFE">
        <w:rPr>
          <w:rFonts w:ascii="Arial" w:hAnsi="Arial" w:cs="Arial"/>
        </w:rPr>
        <w:t>a human rights-based approach</w:t>
      </w:r>
    </w:p>
    <w:p w14:paraId="08AB73BF" w14:textId="77777777" w:rsidR="005847E2" w:rsidRPr="004B7AFE" w:rsidRDefault="005847E2" w:rsidP="00E5186C">
      <w:pPr>
        <w:pStyle w:val="ListParagraph"/>
        <w:numPr>
          <w:ilvl w:val="0"/>
          <w:numId w:val="37"/>
        </w:numPr>
        <w:spacing w:before="120" w:after="120" w:line="276" w:lineRule="auto"/>
        <w:rPr>
          <w:rFonts w:ascii="Arial" w:hAnsi="Arial" w:cs="Arial"/>
        </w:rPr>
      </w:pPr>
      <w:r w:rsidRPr="004B7AFE">
        <w:rPr>
          <w:rFonts w:ascii="Arial" w:hAnsi="Arial" w:cs="Arial"/>
        </w:rPr>
        <w:t>a connected and integrated system</w:t>
      </w:r>
    </w:p>
    <w:p w14:paraId="34841D63" w14:textId="77777777" w:rsidR="005847E2" w:rsidRPr="004B7AFE" w:rsidRDefault="005847E2" w:rsidP="00E5186C">
      <w:pPr>
        <w:pStyle w:val="ListParagraph"/>
        <w:numPr>
          <w:ilvl w:val="0"/>
          <w:numId w:val="37"/>
        </w:numPr>
        <w:spacing w:before="120" w:after="120" w:line="276" w:lineRule="auto"/>
        <w:rPr>
          <w:rFonts w:ascii="Arial" w:hAnsi="Arial" w:cs="Arial"/>
        </w:rPr>
      </w:pPr>
      <w:r w:rsidRPr="004B7AFE">
        <w:rPr>
          <w:rFonts w:ascii="Arial" w:hAnsi="Arial" w:cs="Arial"/>
        </w:rPr>
        <w:t>independent oversight and monitoring</w:t>
      </w:r>
    </w:p>
    <w:p w14:paraId="4B681EE1" w14:textId="77777777" w:rsidR="005847E2" w:rsidRPr="004B7AFE" w:rsidRDefault="005847E2" w:rsidP="00E5186C">
      <w:pPr>
        <w:pStyle w:val="ListParagraph"/>
        <w:numPr>
          <w:ilvl w:val="0"/>
          <w:numId w:val="37"/>
        </w:numPr>
        <w:spacing w:before="120" w:after="120" w:line="276" w:lineRule="auto"/>
        <w:rPr>
          <w:rFonts w:ascii="Arial" w:hAnsi="Arial" w:cs="Arial"/>
        </w:rPr>
      </w:pPr>
      <w:r w:rsidRPr="004B7AFE">
        <w:rPr>
          <w:rFonts w:ascii="Arial" w:hAnsi="Arial" w:cs="Arial"/>
        </w:rPr>
        <w:t>robust prevention and response elements</w:t>
      </w:r>
    </w:p>
    <w:p w14:paraId="74757540" w14:textId="77777777" w:rsidR="005847E2" w:rsidRPr="004B7AFE" w:rsidRDefault="005847E2" w:rsidP="00E5186C">
      <w:pPr>
        <w:pStyle w:val="ListParagraph"/>
        <w:numPr>
          <w:ilvl w:val="0"/>
          <w:numId w:val="37"/>
        </w:numPr>
        <w:spacing w:before="120" w:after="120" w:line="276" w:lineRule="auto"/>
        <w:rPr>
          <w:rFonts w:ascii="Arial" w:hAnsi="Arial" w:cs="Arial"/>
        </w:rPr>
      </w:pPr>
      <w:r w:rsidRPr="004B7AFE">
        <w:rPr>
          <w:rFonts w:ascii="Arial" w:hAnsi="Arial" w:cs="Arial"/>
        </w:rPr>
        <w:t>accessibility for people with disability</w:t>
      </w:r>
    </w:p>
    <w:p w14:paraId="59201E72" w14:textId="77777777" w:rsidR="005847E2" w:rsidRDefault="005847E2" w:rsidP="00E5186C">
      <w:pPr>
        <w:pStyle w:val="ListParagraph"/>
        <w:numPr>
          <w:ilvl w:val="0"/>
          <w:numId w:val="37"/>
        </w:numPr>
        <w:spacing w:before="120" w:after="120" w:line="276" w:lineRule="auto"/>
        <w:rPr>
          <w:rFonts w:ascii="Arial" w:hAnsi="Arial" w:cs="Arial"/>
        </w:rPr>
      </w:pPr>
      <w:r w:rsidRPr="004B7AFE">
        <w:rPr>
          <w:rFonts w:ascii="Arial" w:hAnsi="Arial" w:cs="Arial"/>
        </w:rPr>
        <w:t>continuous systems improvement through data</w:t>
      </w:r>
      <w:r>
        <w:rPr>
          <w:rFonts w:ascii="Arial" w:hAnsi="Arial" w:cs="Arial"/>
        </w:rPr>
        <w:t>.</w:t>
      </w:r>
    </w:p>
    <w:p w14:paraId="403CE18B" w14:textId="77777777" w:rsidR="005847E2" w:rsidRPr="004B7AFE" w:rsidRDefault="005847E2" w:rsidP="00E5186C">
      <w:pPr>
        <w:spacing w:before="120" w:after="120" w:line="276" w:lineRule="auto"/>
        <w:rPr>
          <w:rFonts w:ascii="Arial" w:hAnsi="Arial" w:cs="Arial"/>
        </w:rPr>
      </w:pPr>
      <w:r>
        <w:rPr>
          <w:rFonts w:ascii="Arial" w:hAnsi="Arial" w:cs="Arial"/>
        </w:rPr>
        <w:t>Clearly significant work is required to ensure these elements are embedded in current safeguarding approaches across Australia. This report was released over two years ago, and few changes have been seen since then. We urge the Committee to consider re-emphasising the recommendations made by the Australian Human Rights Commission in 2018. This must include clear accountability from the NDIS Quality and Safeguards Commission, and the Australian Government, where relevant, about which of the above elements have been implemented, and how this us been done.</w:t>
      </w:r>
    </w:p>
    <w:p w14:paraId="7AA55B13" w14:textId="77777777" w:rsidR="005847E2" w:rsidRDefault="005847E2" w:rsidP="00E5186C">
      <w:pPr>
        <w:spacing w:before="120" w:after="120" w:line="276" w:lineRule="auto"/>
        <w:rPr>
          <w:rFonts w:ascii="Arial" w:hAnsi="Arial" w:cs="Arial"/>
        </w:rPr>
      </w:pPr>
      <w:r>
        <w:rPr>
          <w:rFonts w:ascii="Arial" w:hAnsi="Arial" w:cs="Arial"/>
        </w:rPr>
        <w:t>At a fundamental level, CYDA is very concerned that we will not see the reduction and prevention of violence, abuse and neglect against people with disability until there is a change in community attitudes towards disability, until people with disability are valued and included in the same ways as non-disabled people, and until there are effective mechanisms to support and enable the human rights of all people with disability to be upheld.</w:t>
      </w:r>
    </w:p>
    <w:p w14:paraId="5756355C" w14:textId="226F5F73" w:rsidR="00592585" w:rsidRPr="00E5186C" w:rsidRDefault="005847E2" w:rsidP="00E5186C">
      <w:pPr>
        <w:spacing w:before="120" w:after="120" w:line="276" w:lineRule="auto"/>
        <w:rPr>
          <w:rFonts w:ascii="Arial" w:hAnsi="Arial" w:cs="Arial"/>
          <w:sz w:val="24"/>
          <w:szCs w:val="24"/>
        </w:rPr>
      </w:pPr>
      <w:r>
        <w:rPr>
          <w:rFonts w:ascii="Arial" w:hAnsi="Arial" w:cs="Arial"/>
        </w:rPr>
        <w:t>While the Disability Royal Commission offers a considerable opportunity to shine a light on these areas, and to recommend comprehensive change, we must not wait for the Commission’s final report to implement the changes that have already been identified and that are immediately needed to deliver greater rights protections for people</w:t>
      </w:r>
      <w:r w:rsidR="00872A04">
        <w:rPr>
          <w:rFonts w:ascii="Arial" w:hAnsi="Arial" w:cs="Arial"/>
        </w:rPr>
        <w:t xml:space="preserve"> with disability</w:t>
      </w:r>
      <w:r>
        <w:rPr>
          <w:rFonts w:ascii="Arial" w:hAnsi="Arial" w:cs="Arial"/>
        </w:rPr>
        <w:t>.</w:t>
      </w:r>
      <w:bookmarkStart w:id="3" w:name="_MailEndCompose"/>
      <w:bookmarkEnd w:id="3"/>
    </w:p>
    <w:sectPr w:rsidR="00592585" w:rsidRPr="00E5186C" w:rsidSect="008F05AD">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55C1" w14:textId="77777777" w:rsidR="00A15525" w:rsidRDefault="00A15525" w:rsidP="00705F1E">
      <w:pPr>
        <w:spacing w:after="0" w:line="240" w:lineRule="auto"/>
      </w:pPr>
      <w:r>
        <w:separator/>
      </w:r>
    </w:p>
  </w:endnote>
  <w:endnote w:type="continuationSeparator" w:id="0">
    <w:p w14:paraId="08AC796F" w14:textId="77777777" w:rsidR="00A15525" w:rsidRDefault="00A15525"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885F" w14:textId="73373BB6" w:rsidR="00A15525" w:rsidRDefault="00A15525" w:rsidP="0063415B">
    <w:pPr>
      <w:pStyle w:val="Footer"/>
      <w:jc w:val="center"/>
    </w:pPr>
  </w:p>
  <w:p w14:paraId="2A0F7B35" w14:textId="77777777" w:rsidR="00A15525" w:rsidRDefault="00A15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607066"/>
      <w:docPartObj>
        <w:docPartGallery w:val="Page Numbers (Bottom of Page)"/>
        <w:docPartUnique/>
      </w:docPartObj>
    </w:sdtPr>
    <w:sdtEndPr>
      <w:rPr>
        <w:rFonts w:ascii="Arial" w:hAnsi="Arial" w:cs="Arial"/>
        <w:noProof/>
      </w:rPr>
    </w:sdtEndPr>
    <w:sdtContent>
      <w:p w14:paraId="6E70B7D6" w14:textId="21DC0FCC" w:rsidR="00A15525" w:rsidRPr="00556A5E" w:rsidRDefault="00A15525">
        <w:pPr>
          <w:pStyle w:val="Footer"/>
          <w:jc w:val="right"/>
          <w:rPr>
            <w:rFonts w:ascii="Arial" w:hAnsi="Arial" w:cs="Arial"/>
          </w:rPr>
        </w:pPr>
        <w:r w:rsidRPr="00556A5E">
          <w:rPr>
            <w:rFonts w:ascii="Arial" w:hAnsi="Arial" w:cs="Arial"/>
          </w:rPr>
          <w:fldChar w:fldCharType="begin"/>
        </w:r>
        <w:r w:rsidRPr="00556A5E">
          <w:rPr>
            <w:rFonts w:ascii="Arial" w:hAnsi="Arial" w:cs="Arial"/>
          </w:rPr>
          <w:instrText xml:space="preserve"> PAGE   \* MERGEFORMAT </w:instrText>
        </w:r>
        <w:r w:rsidRPr="00556A5E">
          <w:rPr>
            <w:rFonts w:ascii="Arial" w:hAnsi="Arial" w:cs="Arial"/>
          </w:rPr>
          <w:fldChar w:fldCharType="separate"/>
        </w:r>
        <w:r>
          <w:rPr>
            <w:rFonts w:ascii="Arial" w:hAnsi="Arial" w:cs="Arial"/>
            <w:noProof/>
          </w:rPr>
          <w:t>13</w:t>
        </w:r>
        <w:r w:rsidRPr="00556A5E">
          <w:rPr>
            <w:rFonts w:ascii="Arial" w:hAnsi="Arial" w:cs="Arial"/>
            <w:noProof/>
          </w:rPr>
          <w:fldChar w:fldCharType="end"/>
        </w:r>
      </w:p>
    </w:sdtContent>
  </w:sdt>
  <w:p w14:paraId="04DF9BAD" w14:textId="77777777" w:rsidR="00A15525" w:rsidRDefault="00A1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20E6" w14:textId="77777777" w:rsidR="00A15525" w:rsidRDefault="00A15525" w:rsidP="00705F1E">
      <w:pPr>
        <w:spacing w:after="0" w:line="240" w:lineRule="auto"/>
      </w:pPr>
      <w:r>
        <w:separator/>
      </w:r>
    </w:p>
  </w:footnote>
  <w:footnote w:type="continuationSeparator" w:id="0">
    <w:p w14:paraId="10D31526" w14:textId="77777777" w:rsidR="00A15525" w:rsidRDefault="00A15525" w:rsidP="00705F1E">
      <w:pPr>
        <w:spacing w:after="0" w:line="240" w:lineRule="auto"/>
      </w:pPr>
      <w:r>
        <w:continuationSeparator/>
      </w:r>
    </w:p>
  </w:footnote>
  <w:footnote w:id="1">
    <w:p w14:paraId="6E9B676B" w14:textId="77777777" w:rsidR="005847E2" w:rsidRPr="007F7E62" w:rsidRDefault="005847E2" w:rsidP="005847E2">
      <w:pPr>
        <w:pStyle w:val="FootnoteText"/>
        <w:rPr>
          <w:rFonts w:ascii="Arial" w:hAnsi="Arial" w:cs="Arial"/>
          <w:lang w:val="en-US"/>
        </w:rPr>
      </w:pPr>
      <w:r w:rsidRPr="007F7E62">
        <w:rPr>
          <w:rStyle w:val="FootnoteReference"/>
          <w:rFonts w:ascii="Arial" w:hAnsi="Arial" w:cs="Arial"/>
        </w:rPr>
        <w:footnoteRef/>
      </w:r>
      <w:r w:rsidRPr="007F7E62">
        <w:rPr>
          <w:rFonts w:ascii="Arial" w:hAnsi="Arial" w:cs="Arial"/>
        </w:rPr>
        <w:t xml:space="preserve"> See notes from CYDA’s meeting with Task Force co-chairs (</w:t>
      </w:r>
      <w:hyperlink r:id="rId1" w:history="1">
        <w:r w:rsidRPr="007F7E62">
          <w:rPr>
            <w:rStyle w:val="Hyperlink"/>
            <w:rFonts w:ascii="Arial" w:hAnsi="Arial" w:cs="Arial"/>
            <w:lang w:val="en-US"/>
          </w:rPr>
          <w:t>Attachment 9.5.28</w:t>
        </w:r>
      </w:hyperlink>
      <w:r w:rsidRPr="007F7E62">
        <w:rPr>
          <w:rFonts w:ascii="Arial" w:hAnsi="Arial" w:cs="Arial"/>
          <w:lang w:val="en-US"/>
        </w:rPr>
        <w:t>).</w:t>
      </w:r>
    </w:p>
  </w:footnote>
  <w:footnote w:id="2">
    <w:p w14:paraId="0B6E8F34" w14:textId="77777777" w:rsidR="005847E2" w:rsidRPr="007F7E62" w:rsidRDefault="005847E2" w:rsidP="005847E2">
      <w:pPr>
        <w:pStyle w:val="FootnoteText"/>
        <w:rPr>
          <w:rFonts w:ascii="Arial" w:hAnsi="Arial" w:cs="Arial"/>
          <w:lang w:val="en-US"/>
        </w:rPr>
      </w:pPr>
      <w:r w:rsidRPr="007F7E62">
        <w:rPr>
          <w:rStyle w:val="FootnoteReference"/>
          <w:rFonts w:ascii="Arial" w:hAnsi="Arial" w:cs="Arial"/>
        </w:rPr>
        <w:footnoteRef/>
      </w:r>
      <w:r w:rsidRPr="007F7E62">
        <w:rPr>
          <w:rFonts w:ascii="Arial" w:hAnsi="Arial" w:cs="Arial"/>
        </w:rPr>
        <w:t xml:space="preserve"> </w:t>
      </w:r>
      <w:r w:rsidRPr="007F7E62">
        <w:rPr>
          <w:rFonts w:ascii="Arial" w:hAnsi="Arial" w:cs="Arial"/>
          <w:lang w:val="en-US"/>
        </w:rPr>
        <w:t>United Nations Convention on the Rights of Persons with Disabilities, Article 16.</w:t>
      </w:r>
    </w:p>
  </w:footnote>
  <w:footnote w:id="3">
    <w:p w14:paraId="2B786827" w14:textId="77777777" w:rsidR="005847E2" w:rsidRPr="007F7E62" w:rsidRDefault="005847E2" w:rsidP="005847E2">
      <w:pPr>
        <w:pStyle w:val="FootnoteText"/>
        <w:rPr>
          <w:rFonts w:ascii="Arial" w:hAnsi="Arial" w:cs="Arial"/>
          <w:sz w:val="16"/>
          <w:szCs w:val="16"/>
          <w:lang w:val="en-US"/>
        </w:rPr>
      </w:pPr>
      <w:r w:rsidRPr="007F7E62">
        <w:rPr>
          <w:rStyle w:val="FootnoteReference"/>
          <w:rFonts w:ascii="Arial" w:hAnsi="Arial" w:cs="Arial"/>
        </w:rPr>
        <w:footnoteRef/>
      </w:r>
      <w:r w:rsidRPr="007F7E62">
        <w:rPr>
          <w:rFonts w:ascii="Arial" w:hAnsi="Arial" w:cs="Arial"/>
        </w:rPr>
        <w:t xml:space="preserve"> </w:t>
      </w:r>
      <w:r w:rsidRPr="007F7E62">
        <w:rPr>
          <w:rFonts w:ascii="Arial" w:hAnsi="Arial" w:cs="Arial"/>
          <w:lang w:val="en-US"/>
        </w:rPr>
        <w:t xml:space="preserve">Roberts, G. &amp; Swanston, T. (2020), ‘Death of 4yo Willow Dunn came after 'sustained mistreatment', Brisbane detective alleges,’ </w:t>
      </w:r>
      <w:r w:rsidRPr="007F7E62">
        <w:rPr>
          <w:rFonts w:ascii="Arial" w:hAnsi="Arial" w:cs="Arial"/>
          <w:i/>
          <w:iCs/>
          <w:lang w:val="en-US"/>
        </w:rPr>
        <w:t>ABC News</w:t>
      </w:r>
      <w:r w:rsidRPr="007F7E62">
        <w:rPr>
          <w:rFonts w:ascii="Arial" w:hAnsi="Arial" w:cs="Arial"/>
          <w:lang w:val="en-US"/>
        </w:rPr>
        <w:t xml:space="preserve"> (29 May), available: </w:t>
      </w:r>
      <w:hyperlink r:id="rId2" w:history="1">
        <w:r w:rsidRPr="007F7E62">
          <w:rPr>
            <w:rStyle w:val="Hyperlink"/>
            <w:rFonts w:ascii="Arial" w:hAnsi="Arial" w:cs="Arial"/>
            <w:lang w:val="en-US"/>
          </w:rPr>
          <w:t>https://www.abc.net.au/news/2020-05-29/willow-dunn-death-mistreatment-alleged-child-family-commission/12300306</w:t>
        </w:r>
      </w:hyperlink>
      <w:r w:rsidRPr="007F7E62">
        <w:rPr>
          <w:rFonts w:ascii="Arial" w:hAnsi="Arial" w:cs="Arial"/>
          <w:lang w:val="en-US"/>
        </w:rPr>
        <w:t>; Smith, R. (2020). ‘</w:t>
      </w:r>
      <w:proofErr w:type="spellStart"/>
      <w:r w:rsidRPr="007F7E62">
        <w:rPr>
          <w:rFonts w:ascii="Arial" w:hAnsi="Arial" w:cs="Arial"/>
          <w:lang w:val="en-US"/>
        </w:rPr>
        <w:t>Neighbours</w:t>
      </w:r>
      <w:proofErr w:type="spellEnd"/>
      <w:r w:rsidRPr="007F7E62">
        <w:rPr>
          <w:rFonts w:ascii="Arial" w:hAnsi="Arial" w:cs="Arial"/>
          <w:lang w:val="en-US"/>
        </w:rPr>
        <w:t xml:space="preserve"> repeatedly warned authorities about two teens kept in squalid Brisbane room,’ </w:t>
      </w:r>
      <w:r w:rsidRPr="007F7E62">
        <w:rPr>
          <w:rFonts w:ascii="Arial" w:hAnsi="Arial" w:cs="Arial"/>
          <w:i/>
          <w:iCs/>
          <w:lang w:val="en-US"/>
        </w:rPr>
        <w:t>news.com.au</w:t>
      </w:r>
      <w:r w:rsidRPr="007F7E62">
        <w:rPr>
          <w:rFonts w:ascii="Arial" w:hAnsi="Arial" w:cs="Arial"/>
          <w:lang w:val="en-US"/>
        </w:rPr>
        <w:t xml:space="preserve">, (29 May), available: </w:t>
      </w:r>
      <w:hyperlink r:id="rId3" w:history="1">
        <w:r w:rsidRPr="007F7E62">
          <w:rPr>
            <w:rStyle w:val="Hyperlink"/>
            <w:rFonts w:ascii="Arial" w:hAnsi="Arial" w:cs="Arial"/>
            <w:lang w:val="en-US"/>
          </w:rPr>
          <w:t>https://www.news.com.au/national/queensland/news/neighbours-repeatedly-warned-authorities-about-two-teens-kept-in-squalid-brisbane-room/news-story/5dfc3245eb0f82734e6c9f9fe2dadaa8</w:t>
        </w:r>
      </w:hyperlink>
      <w:r w:rsidRPr="007F7E62">
        <w:rPr>
          <w:rFonts w:ascii="Arial" w:hAnsi="Arial" w:cs="Arial"/>
          <w:lang w:val="en-US"/>
        </w:rPr>
        <w:t xml:space="preserve">. </w:t>
      </w:r>
    </w:p>
  </w:footnote>
  <w:footnote w:id="4">
    <w:p w14:paraId="5125198A" w14:textId="79E737F7" w:rsidR="007F7E62" w:rsidRPr="007F7E62" w:rsidRDefault="007F7E62">
      <w:pPr>
        <w:pStyle w:val="FootnoteText"/>
        <w:rPr>
          <w:rFonts w:ascii="Arial" w:hAnsi="Arial" w:cs="Arial"/>
          <w:lang w:val="en-US"/>
        </w:rPr>
      </w:pPr>
      <w:r w:rsidRPr="007F7E62">
        <w:rPr>
          <w:rStyle w:val="FootnoteReference"/>
          <w:rFonts w:ascii="Arial" w:hAnsi="Arial" w:cs="Arial"/>
        </w:rPr>
        <w:footnoteRef/>
      </w:r>
      <w:r w:rsidRPr="007F7E62">
        <w:rPr>
          <w:rFonts w:ascii="Arial" w:hAnsi="Arial" w:cs="Arial"/>
        </w:rPr>
        <w:t xml:space="preserve"> </w:t>
      </w:r>
      <w:r w:rsidRPr="007F7E62">
        <w:rPr>
          <w:rFonts w:ascii="Arial" w:hAnsi="Arial" w:cs="Arial"/>
          <w:lang w:val="en-US"/>
        </w:rPr>
        <w:t xml:space="preserve">Australian Human Rights Commission (2018), </w:t>
      </w:r>
      <w:r w:rsidRPr="007F7E62">
        <w:rPr>
          <w:rFonts w:ascii="Arial" w:hAnsi="Arial" w:cs="Arial"/>
          <w:i/>
          <w:iCs/>
          <w:lang w:val="en-US"/>
        </w:rPr>
        <w:t>A Future Without Violence: Quality, safeguarding and oversight to prevent and address violence against people with disability in institutional settings</w:t>
      </w:r>
      <w:r w:rsidRPr="007F7E62">
        <w:rPr>
          <w:rFonts w:ascii="Arial" w:hAnsi="Arial" w:cs="Arial"/>
          <w:lang w:val="en-US"/>
        </w:rPr>
        <w:t xml:space="preserve">. Available: </w:t>
      </w:r>
      <w:hyperlink r:id="rId4" w:history="1">
        <w:r w:rsidRPr="007F7E62">
          <w:rPr>
            <w:rStyle w:val="Hyperlink"/>
            <w:rFonts w:ascii="Arial" w:hAnsi="Arial" w:cs="Arial"/>
          </w:rPr>
          <w:t>https://humanrights.gov.au/our-work/disability-rights/publications/future-without-violence-2018</w:t>
        </w:r>
      </w:hyperlink>
      <w:r w:rsidRPr="007F7E62">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EDF" w14:textId="77777777" w:rsidR="00A15525" w:rsidRDefault="00A15525">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BDFD421" wp14:editId="5D6997E7">
          <wp:simplePos x="0" y="0"/>
          <wp:positionH relativeFrom="page">
            <wp:posOffset>-28575</wp:posOffset>
          </wp:positionH>
          <wp:positionV relativeFrom="paragraph">
            <wp:posOffset>-434653</wp:posOffset>
          </wp:positionV>
          <wp:extent cx="8235315" cy="1371600"/>
          <wp:effectExtent l="57150" t="57150" r="51435" b="57150"/>
          <wp:wrapTight wrapText="bothSides">
            <wp:wrapPolygon edited="0">
              <wp:start x="-150" y="-900"/>
              <wp:lineTo x="-150" y="22200"/>
              <wp:lineTo x="21685" y="22200"/>
              <wp:lineTo x="21685" y="-900"/>
              <wp:lineTo x="-150" y="-900"/>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35315" cy="13716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36316438" w14:textId="77777777" w:rsidR="00A15525" w:rsidRDefault="00A15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39C2" w14:textId="70592A37" w:rsidR="00A15525" w:rsidRDefault="00A15525">
    <w:pPr>
      <w:pStyle w:val="Header"/>
    </w:pPr>
  </w:p>
  <w:p w14:paraId="6841AD27" w14:textId="77777777" w:rsidR="00A15525" w:rsidRDefault="00A1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EF9"/>
    <w:multiLevelType w:val="hybridMultilevel"/>
    <w:tmpl w:val="EDE27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A835C3"/>
    <w:multiLevelType w:val="hybridMultilevel"/>
    <w:tmpl w:val="FFA8742E"/>
    <w:lvl w:ilvl="0" w:tplc="0C090001">
      <w:start w:val="1"/>
      <w:numFmt w:val="bullet"/>
      <w:lvlText w:val=""/>
      <w:lvlJc w:val="left"/>
      <w:pPr>
        <w:ind w:left="720" w:hanging="360"/>
      </w:pPr>
      <w:rPr>
        <w:rFonts w:ascii="Symbol" w:hAnsi="Symbol" w:hint="default"/>
      </w:rPr>
    </w:lvl>
    <w:lvl w:ilvl="1" w:tplc="3F6ECDB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FE"/>
    <w:multiLevelType w:val="hybridMultilevel"/>
    <w:tmpl w:val="9744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272ED"/>
    <w:multiLevelType w:val="hybridMultilevel"/>
    <w:tmpl w:val="5886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630D1E"/>
    <w:multiLevelType w:val="hybridMultilevel"/>
    <w:tmpl w:val="AFC0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90071"/>
    <w:multiLevelType w:val="hybridMultilevel"/>
    <w:tmpl w:val="D9B23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511886"/>
    <w:multiLevelType w:val="hybridMultilevel"/>
    <w:tmpl w:val="0FC2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75A39"/>
    <w:multiLevelType w:val="hybridMultilevel"/>
    <w:tmpl w:val="F3F82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C627A7"/>
    <w:multiLevelType w:val="hybridMultilevel"/>
    <w:tmpl w:val="8F6A59FE"/>
    <w:lvl w:ilvl="0" w:tplc="33BC28B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F21A0"/>
    <w:multiLevelType w:val="hybridMultilevel"/>
    <w:tmpl w:val="63E82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9152A8"/>
    <w:multiLevelType w:val="multilevel"/>
    <w:tmpl w:val="50A66E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heme="minorHAnsi" w:hAnsi="Arial"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1A075C"/>
    <w:multiLevelType w:val="hybridMultilevel"/>
    <w:tmpl w:val="292E4146"/>
    <w:lvl w:ilvl="0" w:tplc="EE54C57E">
      <w:numFmt w:val="bullet"/>
      <w:lvlText w:val="•"/>
      <w:lvlJc w:val="left"/>
      <w:pPr>
        <w:ind w:left="504" w:hanging="384"/>
      </w:pPr>
      <w:rPr>
        <w:rFonts w:ascii="Arial" w:eastAsiaTheme="minorHAnsi"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5" w15:restartNumberingAfterBreak="0">
    <w:nsid w:val="2A665663"/>
    <w:multiLevelType w:val="hybridMultilevel"/>
    <w:tmpl w:val="D044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674CD"/>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AD74D2"/>
    <w:multiLevelType w:val="hybridMultilevel"/>
    <w:tmpl w:val="F514C60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15:restartNumberingAfterBreak="0">
    <w:nsid w:val="3A9B7C63"/>
    <w:multiLevelType w:val="hybridMultilevel"/>
    <w:tmpl w:val="ACD8617C"/>
    <w:lvl w:ilvl="0" w:tplc="74DA5600">
      <w:start w:val="1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52F5A22"/>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7221E8"/>
    <w:multiLevelType w:val="hybridMultilevel"/>
    <w:tmpl w:val="D0283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ABD0A74"/>
    <w:multiLevelType w:val="hybridMultilevel"/>
    <w:tmpl w:val="8CDA23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BD3A48"/>
    <w:multiLevelType w:val="hybridMultilevel"/>
    <w:tmpl w:val="2C66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C124D9"/>
    <w:multiLevelType w:val="hybridMultilevel"/>
    <w:tmpl w:val="1EEC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033B9"/>
    <w:multiLevelType w:val="hybridMultilevel"/>
    <w:tmpl w:val="E602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35B0D"/>
    <w:multiLevelType w:val="hybridMultilevel"/>
    <w:tmpl w:val="A57E5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0B3919"/>
    <w:multiLevelType w:val="hybridMultilevel"/>
    <w:tmpl w:val="7226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B50276"/>
    <w:multiLevelType w:val="hybridMultilevel"/>
    <w:tmpl w:val="45682D98"/>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29"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754D4E"/>
    <w:multiLevelType w:val="hybridMultilevel"/>
    <w:tmpl w:val="E6EE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C03A44"/>
    <w:multiLevelType w:val="hybridMultilevel"/>
    <w:tmpl w:val="89003970"/>
    <w:lvl w:ilvl="0" w:tplc="0C090001">
      <w:start w:val="1"/>
      <w:numFmt w:val="bullet"/>
      <w:lvlText w:val=""/>
      <w:lvlJc w:val="left"/>
      <w:pPr>
        <w:ind w:left="720" w:hanging="360"/>
      </w:pPr>
      <w:rPr>
        <w:rFonts w:ascii="Symbol" w:hAnsi="Symbol" w:hint="default"/>
      </w:rPr>
    </w:lvl>
    <w:lvl w:ilvl="1" w:tplc="4E5C768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D132C"/>
    <w:multiLevelType w:val="hybridMultilevel"/>
    <w:tmpl w:val="6876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9"/>
  </w:num>
  <w:num w:numId="4">
    <w:abstractNumId w:val="33"/>
  </w:num>
  <w:num w:numId="5">
    <w:abstractNumId w:val="4"/>
  </w:num>
  <w:num w:numId="6">
    <w:abstractNumId w:val="12"/>
  </w:num>
  <w:num w:numId="7">
    <w:abstractNumId w:val="16"/>
  </w:num>
  <w:num w:numId="8">
    <w:abstractNumId w:val="28"/>
  </w:num>
  <w:num w:numId="9">
    <w:abstractNumId w:val="32"/>
  </w:num>
  <w:num w:numId="10">
    <w:abstractNumId w:val="5"/>
  </w:num>
  <w:num w:numId="11">
    <w:abstractNumId w:val="2"/>
  </w:num>
  <w:num w:numId="12">
    <w:abstractNumId w:val="1"/>
  </w:num>
  <w:num w:numId="13">
    <w:abstractNumId w:val="18"/>
  </w:num>
  <w:num w:numId="14">
    <w:abstractNumId w:val="14"/>
  </w:num>
  <w:num w:numId="15">
    <w:abstractNumId w:val="9"/>
  </w:num>
  <w:num w:numId="16">
    <w:abstractNumId w:val="34"/>
  </w:num>
  <w:num w:numId="17">
    <w:abstractNumId w:val="24"/>
  </w:num>
  <w:num w:numId="18">
    <w:abstractNumId w:val="10"/>
  </w:num>
  <w:num w:numId="19">
    <w:abstractNumId w:val="19"/>
  </w:num>
  <w:num w:numId="20">
    <w:abstractNumId w:val="30"/>
  </w:num>
  <w:num w:numId="21">
    <w:abstractNumId w:val="35"/>
  </w:num>
  <w:num w:numId="22">
    <w:abstractNumId w:val="23"/>
  </w:num>
  <w:num w:numId="23">
    <w:abstractNumId w:val="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0"/>
  </w:num>
  <w:num w:numId="29">
    <w:abstractNumId w:val="15"/>
  </w:num>
  <w:num w:numId="30">
    <w:abstractNumId w:val="27"/>
  </w:num>
  <w:num w:numId="31">
    <w:abstractNumId w:val="26"/>
  </w:num>
  <w:num w:numId="32">
    <w:abstractNumId w:val="22"/>
  </w:num>
  <w:num w:numId="33">
    <w:abstractNumId w:val="8"/>
  </w:num>
  <w:num w:numId="34">
    <w:abstractNumId w:val="31"/>
  </w:num>
  <w:num w:numId="35">
    <w:abstractNumId w:val="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TQ1NzczM7cwMTFT0lEKTi0uzszPAymwrAUAb2UwCSwAAAA="/>
  </w:docVars>
  <w:rsids>
    <w:rsidRoot w:val="00796395"/>
    <w:rsid w:val="000014DE"/>
    <w:rsid w:val="00002B63"/>
    <w:rsid w:val="00002DFC"/>
    <w:rsid w:val="00006F47"/>
    <w:rsid w:val="00007B2F"/>
    <w:rsid w:val="000167C0"/>
    <w:rsid w:val="00016EC8"/>
    <w:rsid w:val="00021DBF"/>
    <w:rsid w:val="00023C80"/>
    <w:rsid w:val="00023F03"/>
    <w:rsid w:val="00027B2C"/>
    <w:rsid w:val="000312E7"/>
    <w:rsid w:val="00040705"/>
    <w:rsid w:val="00044EFC"/>
    <w:rsid w:val="00064382"/>
    <w:rsid w:val="00064761"/>
    <w:rsid w:val="00070B42"/>
    <w:rsid w:val="000711C6"/>
    <w:rsid w:val="000719C4"/>
    <w:rsid w:val="00074407"/>
    <w:rsid w:val="0007698B"/>
    <w:rsid w:val="000771B4"/>
    <w:rsid w:val="00083666"/>
    <w:rsid w:val="00092439"/>
    <w:rsid w:val="0009403C"/>
    <w:rsid w:val="00094674"/>
    <w:rsid w:val="000A2870"/>
    <w:rsid w:val="000A4ABD"/>
    <w:rsid w:val="000B12EC"/>
    <w:rsid w:val="000B32E1"/>
    <w:rsid w:val="000B3B54"/>
    <w:rsid w:val="000B3E7C"/>
    <w:rsid w:val="000B65A9"/>
    <w:rsid w:val="000B6966"/>
    <w:rsid w:val="000C061F"/>
    <w:rsid w:val="000C1A04"/>
    <w:rsid w:val="000C1C2A"/>
    <w:rsid w:val="000C2BEC"/>
    <w:rsid w:val="000D4FA6"/>
    <w:rsid w:val="000E0946"/>
    <w:rsid w:val="000E2EB5"/>
    <w:rsid w:val="000E6BA8"/>
    <w:rsid w:val="000F4F3F"/>
    <w:rsid w:val="000F6941"/>
    <w:rsid w:val="001038AC"/>
    <w:rsid w:val="001122D7"/>
    <w:rsid w:val="0011360A"/>
    <w:rsid w:val="00120291"/>
    <w:rsid w:val="0012384F"/>
    <w:rsid w:val="00124869"/>
    <w:rsid w:val="001256F0"/>
    <w:rsid w:val="00126E62"/>
    <w:rsid w:val="00126ECB"/>
    <w:rsid w:val="00132CE6"/>
    <w:rsid w:val="001343DE"/>
    <w:rsid w:val="001379C5"/>
    <w:rsid w:val="001402B0"/>
    <w:rsid w:val="001404BE"/>
    <w:rsid w:val="00141412"/>
    <w:rsid w:val="001432C1"/>
    <w:rsid w:val="0015356D"/>
    <w:rsid w:val="00153D6B"/>
    <w:rsid w:val="001567E9"/>
    <w:rsid w:val="0016585A"/>
    <w:rsid w:val="00167272"/>
    <w:rsid w:val="001814F6"/>
    <w:rsid w:val="00186F99"/>
    <w:rsid w:val="00192B47"/>
    <w:rsid w:val="00195BC1"/>
    <w:rsid w:val="001A2088"/>
    <w:rsid w:val="001B111B"/>
    <w:rsid w:val="001B1295"/>
    <w:rsid w:val="001B38D8"/>
    <w:rsid w:val="001B78F7"/>
    <w:rsid w:val="001C0C56"/>
    <w:rsid w:val="001C13F6"/>
    <w:rsid w:val="001D6380"/>
    <w:rsid w:val="001E2348"/>
    <w:rsid w:val="001E3F00"/>
    <w:rsid w:val="001E430F"/>
    <w:rsid w:val="001E5C90"/>
    <w:rsid w:val="001F3EB4"/>
    <w:rsid w:val="002007DF"/>
    <w:rsid w:val="00201447"/>
    <w:rsid w:val="00202038"/>
    <w:rsid w:val="00202CD8"/>
    <w:rsid w:val="00210558"/>
    <w:rsid w:val="00213BDB"/>
    <w:rsid w:val="00214F79"/>
    <w:rsid w:val="00222402"/>
    <w:rsid w:val="00223976"/>
    <w:rsid w:val="00225629"/>
    <w:rsid w:val="002328A4"/>
    <w:rsid w:val="00234842"/>
    <w:rsid w:val="00240F92"/>
    <w:rsid w:val="00242F07"/>
    <w:rsid w:val="00243897"/>
    <w:rsid w:val="00244F1C"/>
    <w:rsid w:val="00251779"/>
    <w:rsid w:val="00255FC2"/>
    <w:rsid w:val="002601B3"/>
    <w:rsid w:val="00262B63"/>
    <w:rsid w:val="00263A22"/>
    <w:rsid w:val="00264425"/>
    <w:rsid w:val="002665F6"/>
    <w:rsid w:val="002711CC"/>
    <w:rsid w:val="00274F3A"/>
    <w:rsid w:val="0027665C"/>
    <w:rsid w:val="00284C05"/>
    <w:rsid w:val="00285FE5"/>
    <w:rsid w:val="00290708"/>
    <w:rsid w:val="00291B55"/>
    <w:rsid w:val="002A381E"/>
    <w:rsid w:val="002A4E6C"/>
    <w:rsid w:val="002B06BE"/>
    <w:rsid w:val="002B150C"/>
    <w:rsid w:val="002B6FDB"/>
    <w:rsid w:val="002D1B10"/>
    <w:rsid w:val="002D44AC"/>
    <w:rsid w:val="002E5736"/>
    <w:rsid w:val="002E6AF5"/>
    <w:rsid w:val="002F3956"/>
    <w:rsid w:val="002F48A7"/>
    <w:rsid w:val="002F5BAE"/>
    <w:rsid w:val="002F6A2B"/>
    <w:rsid w:val="0030097A"/>
    <w:rsid w:val="00306A24"/>
    <w:rsid w:val="00306D74"/>
    <w:rsid w:val="003148B5"/>
    <w:rsid w:val="00316EA2"/>
    <w:rsid w:val="00317CE3"/>
    <w:rsid w:val="00322B6D"/>
    <w:rsid w:val="003230F0"/>
    <w:rsid w:val="00323363"/>
    <w:rsid w:val="003278B2"/>
    <w:rsid w:val="0033031B"/>
    <w:rsid w:val="00332C4D"/>
    <w:rsid w:val="00343CED"/>
    <w:rsid w:val="003500D0"/>
    <w:rsid w:val="003519D9"/>
    <w:rsid w:val="003568E1"/>
    <w:rsid w:val="0035728F"/>
    <w:rsid w:val="0036059D"/>
    <w:rsid w:val="00370696"/>
    <w:rsid w:val="00371DA6"/>
    <w:rsid w:val="00375697"/>
    <w:rsid w:val="00375A7F"/>
    <w:rsid w:val="003806B9"/>
    <w:rsid w:val="0038098A"/>
    <w:rsid w:val="00383923"/>
    <w:rsid w:val="00387F34"/>
    <w:rsid w:val="003A00F6"/>
    <w:rsid w:val="003A5DED"/>
    <w:rsid w:val="003B007C"/>
    <w:rsid w:val="003B3D0A"/>
    <w:rsid w:val="003B5056"/>
    <w:rsid w:val="003D1E30"/>
    <w:rsid w:val="003D487B"/>
    <w:rsid w:val="003D6E8B"/>
    <w:rsid w:val="003D72B7"/>
    <w:rsid w:val="003E0269"/>
    <w:rsid w:val="003F29D5"/>
    <w:rsid w:val="003F3148"/>
    <w:rsid w:val="00402A5C"/>
    <w:rsid w:val="0041516E"/>
    <w:rsid w:val="00415A28"/>
    <w:rsid w:val="004232E5"/>
    <w:rsid w:val="00427CBB"/>
    <w:rsid w:val="0043065F"/>
    <w:rsid w:val="00431B07"/>
    <w:rsid w:val="00434A7F"/>
    <w:rsid w:val="00447C27"/>
    <w:rsid w:val="0045003F"/>
    <w:rsid w:val="0045082B"/>
    <w:rsid w:val="00451F65"/>
    <w:rsid w:val="004532B1"/>
    <w:rsid w:val="004640E1"/>
    <w:rsid w:val="0047028F"/>
    <w:rsid w:val="004709AD"/>
    <w:rsid w:val="004725E6"/>
    <w:rsid w:val="00475ACF"/>
    <w:rsid w:val="00480CBC"/>
    <w:rsid w:val="00487BF3"/>
    <w:rsid w:val="00491459"/>
    <w:rsid w:val="004A3DC2"/>
    <w:rsid w:val="004A43E2"/>
    <w:rsid w:val="004A5BC6"/>
    <w:rsid w:val="004A782F"/>
    <w:rsid w:val="004B7102"/>
    <w:rsid w:val="004C05D0"/>
    <w:rsid w:val="004C3713"/>
    <w:rsid w:val="004C3BEA"/>
    <w:rsid w:val="004C4B6F"/>
    <w:rsid w:val="004C56C8"/>
    <w:rsid w:val="004D0E6A"/>
    <w:rsid w:val="004D3C2E"/>
    <w:rsid w:val="004D4D61"/>
    <w:rsid w:val="004D7ADE"/>
    <w:rsid w:val="004E368F"/>
    <w:rsid w:val="004E3D05"/>
    <w:rsid w:val="004F00D9"/>
    <w:rsid w:val="004F241B"/>
    <w:rsid w:val="004F3B3B"/>
    <w:rsid w:val="004F52CE"/>
    <w:rsid w:val="005031FC"/>
    <w:rsid w:val="00510173"/>
    <w:rsid w:val="0051020C"/>
    <w:rsid w:val="00512EBB"/>
    <w:rsid w:val="00514336"/>
    <w:rsid w:val="00514F43"/>
    <w:rsid w:val="00521518"/>
    <w:rsid w:val="0052597A"/>
    <w:rsid w:val="00532D8F"/>
    <w:rsid w:val="00536125"/>
    <w:rsid w:val="00543401"/>
    <w:rsid w:val="00550006"/>
    <w:rsid w:val="0055002A"/>
    <w:rsid w:val="005507E3"/>
    <w:rsid w:val="005537D0"/>
    <w:rsid w:val="00553B0C"/>
    <w:rsid w:val="00556A5E"/>
    <w:rsid w:val="0055700C"/>
    <w:rsid w:val="00582DBE"/>
    <w:rsid w:val="00583E35"/>
    <w:rsid w:val="005847E2"/>
    <w:rsid w:val="0058563D"/>
    <w:rsid w:val="00587238"/>
    <w:rsid w:val="00590693"/>
    <w:rsid w:val="00592585"/>
    <w:rsid w:val="005A4CF0"/>
    <w:rsid w:val="005A4DFC"/>
    <w:rsid w:val="005A7507"/>
    <w:rsid w:val="005B0939"/>
    <w:rsid w:val="005B45AE"/>
    <w:rsid w:val="005C14B4"/>
    <w:rsid w:val="005C3C7F"/>
    <w:rsid w:val="005C5284"/>
    <w:rsid w:val="005C6705"/>
    <w:rsid w:val="005E0523"/>
    <w:rsid w:val="005E5846"/>
    <w:rsid w:val="005F0FDD"/>
    <w:rsid w:val="005F4C19"/>
    <w:rsid w:val="005F6F4A"/>
    <w:rsid w:val="00604789"/>
    <w:rsid w:val="00604A69"/>
    <w:rsid w:val="00615CB8"/>
    <w:rsid w:val="0063415B"/>
    <w:rsid w:val="00634787"/>
    <w:rsid w:val="006355F0"/>
    <w:rsid w:val="00635951"/>
    <w:rsid w:val="0063684F"/>
    <w:rsid w:val="00642D23"/>
    <w:rsid w:val="006441AF"/>
    <w:rsid w:val="00644AB7"/>
    <w:rsid w:val="00647226"/>
    <w:rsid w:val="00650ED4"/>
    <w:rsid w:val="00653AEB"/>
    <w:rsid w:val="006541B6"/>
    <w:rsid w:val="00655ACB"/>
    <w:rsid w:val="00657952"/>
    <w:rsid w:val="0065795B"/>
    <w:rsid w:val="00665046"/>
    <w:rsid w:val="006735DF"/>
    <w:rsid w:val="00674032"/>
    <w:rsid w:val="00677424"/>
    <w:rsid w:val="006778FC"/>
    <w:rsid w:val="00694980"/>
    <w:rsid w:val="00695219"/>
    <w:rsid w:val="006A3C62"/>
    <w:rsid w:val="006B011A"/>
    <w:rsid w:val="006B1599"/>
    <w:rsid w:val="006B1E73"/>
    <w:rsid w:val="006B3C3D"/>
    <w:rsid w:val="006B575B"/>
    <w:rsid w:val="006B75B3"/>
    <w:rsid w:val="006C254A"/>
    <w:rsid w:val="006C6539"/>
    <w:rsid w:val="006D0496"/>
    <w:rsid w:val="006D381B"/>
    <w:rsid w:val="006F09FD"/>
    <w:rsid w:val="006F167D"/>
    <w:rsid w:val="007016C2"/>
    <w:rsid w:val="00701EAB"/>
    <w:rsid w:val="00705F1E"/>
    <w:rsid w:val="00707651"/>
    <w:rsid w:val="00710341"/>
    <w:rsid w:val="00710B94"/>
    <w:rsid w:val="00711098"/>
    <w:rsid w:val="00711BD4"/>
    <w:rsid w:val="0071448F"/>
    <w:rsid w:val="00714C0A"/>
    <w:rsid w:val="00717307"/>
    <w:rsid w:val="00717EE7"/>
    <w:rsid w:val="007225AC"/>
    <w:rsid w:val="00722D50"/>
    <w:rsid w:val="00724464"/>
    <w:rsid w:val="007266B3"/>
    <w:rsid w:val="00727459"/>
    <w:rsid w:val="00737841"/>
    <w:rsid w:val="00740A9A"/>
    <w:rsid w:val="00741AA6"/>
    <w:rsid w:val="00741E6E"/>
    <w:rsid w:val="007450AA"/>
    <w:rsid w:val="00746746"/>
    <w:rsid w:val="00753DD7"/>
    <w:rsid w:val="00757D3E"/>
    <w:rsid w:val="00760F35"/>
    <w:rsid w:val="00770F18"/>
    <w:rsid w:val="00772C09"/>
    <w:rsid w:val="00772EDE"/>
    <w:rsid w:val="007737F1"/>
    <w:rsid w:val="00774B26"/>
    <w:rsid w:val="00777D5B"/>
    <w:rsid w:val="00791DCF"/>
    <w:rsid w:val="007962C4"/>
    <w:rsid w:val="00796395"/>
    <w:rsid w:val="00797933"/>
    <w:rsid w:val="007A0C6D"/>
    <w:rsid w:val="007A4421"/>
    <w:rsid w:val="007A7969"/>
    <w:rsid w:val="007B3B4A"/>
    <w:rsid w:val="007C301E"/>
    <w:rsid w:val="007D0DEE"/>
    <w:rsid w:val="007E0259"/>
    <w:rsid w:val="007E0EA0"/>
    <w:rsid w:val="007E64C9"/>
    <w:rsid w:val="007E746C"/>
    <w:rsid w:val="007F7E62"/>
    <w:rsid w:val="0080052A"/>
    <w:rsid w:val="00802737"/>
    <w:rsid w:val="008114D6"/>
    <w:rsid w:val="00813854"/>
    <w:rsid w:val="00821BBC"/>
    <w:rsid w:val="00821F25"/>
    <w:rsid w:val="00822CF7"/>
    <w:rsid w:val="00827090"/>
    <w:rsid w:val="00831214"/>
    <w:rsid w:val="00834EDB"/>
    <w:rsid w:val="00840945"/>
    <w:rsid w:val="008454A0"/>
    <w:rsid w:val="0085167A"/>
    <w:rsid w:val="00862742"/>
    <w:rsid w:val="00862F2C"/>
    <w:rsid w:val="00864552"/>
    <w:rsid w:val="00872A04"/>
    <w:rsid w:val="00892372"/>
    <w:rsid w:val="00892F09"/>
    <w:rsid w:val="0089435C"/>
    <w:rsid w:val="008972FF"/>
    <w:rsid w:val="008A1643"/>
    <w:rsid w:val="008A60F8"/>
    <w:rsid w:val="008B0698"/>
    <w:rsid w:val="008B20A4"/>
    <w:rsid w:val="008B3990"/>
    <w:rsid w:val="008B5AEB"/>
    <w:rsid w:val="008B71E2"/>
    <w:rsid w:val="008C0D30"/>
    <w:rsid w:val="008C3848"/>
    <w:rsid w:val="008C6A87"/>
    <w:rsid w:val="008D3DA3"/>
    <w:rsid w:val="008E2740"/>
    <w:rsid w:val="008E591E"/>
    <w:rsid w:val="008F05AD"/>
    <w:rsid w:val="008F1E60"/>
    <w:rsid w:val="008F43AC"/>
    <w:rsid w:val="00901B34"/>
    <w:rsid w:val="00912803"/>
    <w:rsid w:val="00913916"/>
    <w:rsid w:val="00927A2E"/>
    <w:rsid w:val="00927F1C"/>
    <w:rsid w:val="00927F8D"/>
    <w:rsid w:val="0093190F"/>
    <w:rsid w:val="00937E48"/>
    <w:rsid w:val="00944427"/>
    <w:rsid w:val="00947D69"/>
    <w:rsid w:val="00956D11"/>
    <w:rsid w:val="00960125"/>
    <w:rsid w:val="00961BF0"/>
    <w:rsid w:val="009628E7"/>
    <w:rsid w:val="0096495C"/>
    <w:rsid w:val="00974205"/>
    <w:rsid w:val="00980431"/>
    <w:rsid w:val="00985368"/>
    <w:rsid w:val="00985E31"/>
    <w:rsid w:val="0098674E"/>
    <w:rsid w:val="00992694"/>
    <w:rsid w:val="009936DC"/>
    <w:rsid w:val="009936F8"/>
    <w:rsid w:val="00993C6F"/>
    <w:rsid w:val="00993E95"/>
    <w:rsid w:val="00997D4B"/>
    <w:rsid w:val="009A1EAC"/>
    <w:rsid w:val="009A3C45"/>
    <w:rsid w:val="009B75EE"/>
    <w:rsid w:val="009C0CA2"/>
    <w:rsid w:val="009C6A5F"/>
    <w:rsid w:val="009D3759"/>
    <w:rsid w:val="009D5BE9"/>
    <w:rsid w:val="009E3370"/>
    <w:rsid w:val="009E34E9"/>
    <w:rsid w:val="009E3994"/>
    <w:rsid w:val="009E5476"/>
    <w:rsid w:val="009E584A"/>
    <w:rsid w:val="009E7FC5"/>
    <w:rsid w:val="009F0B1B"/>
    <w:rsid w:val="009F3EC2"/>
    <w:rsid w:val="009F6D9E"/>
    <w:rsid w:val="00A01599"/>
    <w:rsid w:val="00A0435B"/>
    <w:rsid w:val="00A07616"/>
    <w:rsid w:val="00A14527"/>
    <w:rsid w:val="00A15525"/>
    <w:rsid w:val="00A20E71"/>
    <w:rsid w:val="00A22E6F"/>
    <w:rsid w:val="00A2708C"/>
    <w:rsid w:val="00A3762B"/>
    <w:rsid w:val="00A4007A"/>
    <w:rsid w:val="00A41143"/>
    <w:rsid w:val="00A43D1E"/>
    <w:rsid w:val="00A458B0"/>
    <w:rsid w:val="00A54535"/>
    <w:rsid w:val="00A60AC2"/>
    <w:rsid w:val="00A63FE9"/>
    <w:rsid w:val="00A774D6"/>
    <w:rsid w:val="00A905C5"/>
    <w:rsid w:val="00A90EB9"/>
    <w:rsid w:val="00A934AB"/>
    <w:rsid w:val="00A94B0F"/>
    <w:rsid w:val="00A957B1"/>
    <w:rsid w:val="00A975B9"/>
    <w:rsid w:val="00AA0D2F"/>
    <w:rsid w:val="00AA5792"/>
    <w:rsid w:val="00AA5FB7"/>
    <w:rsid w:val="00AA6020"/>
    <w:rsid w:val="00AB32C6"/>
    <w:rsid w:val="00AB7469"/>
    <w:rsid w:val="00AB751F"/>
    <w:rsid w:val="00AD4677"/>
    <w:rsid w:val="00AD52A6"/>
    <w:rsid w:val="00AE002C"/>
    <w:rsid w:val="00AE623B"/>
    <w:rsid w:val="00AF128A"/>
    <w:rsid w:val="00AF24B5"/>
    <w:rsid w:val="00AF52BB"/>
    <w:rsid w:val="00B01F8F"/>
    <w:rsid w:val="00B02361"/>
    <w:rsid w:val="00B07AC9"/>
    <w:rsid w:val="00B07EAD"/>
    <w:rsid w:val="00B12C15"/>
    <w:rsid w:val="00B1535A"/>
    <w:rsid w:val="00B25414"/>
    <w:rsid w:val="00B30D47"/>
    <w:rsid w:val="00B37054"/>
    <w:rsid w:val="00B46D20"/>
    <w:rsid w:val="00B46DFD"/>
    <w:rsid w:val="00B47342"/>
    <w:rsid w:val="00B57BCD"/>
    <w:rsid w:val="00B61A90"/>
    <w:rsid w:val="00B65291"/>
    <w:rsid w:val="00B659FA"/>
    <w:rsid w:val="00B7173C"/>
    <w:rsid w:val="00B77870"/>
    <w:rsid w:val="00B8138E"/>
    <w:rsid w:val="00B85CDE"/>
    <w:rsid w:val="00B9018B"/>
    <w:rsid w:val="00B91BBD"/>
    <w:rsid w:val="00B93255"/>
    <w:rsid w:val="00B94FD6"/>
    <w:rsid w:val="00B9549A"/>
    <w:rsid w:val="00BB0F6E"/>
    <w:rsid w:val="00BB146F"/>
    <w:rsid w:val="00BB6C62"/>
    <w:rsid w:val="00BC16D1"/>
    <w:rsid w:val="00BC378D"/>
    <w:rsid w:val="00BC38F4"/>
    <w:rsid w:val="00BC396A"/>
    <w:rsid w:val="00BC3E60"/>
    <w:rsid w:val="00BD2A1E"/>
    <w:rsid w:val="00BD3411"/>
    <w:rsid w:val="00BD602C"/>
    <w:rsid w:val="00BE1527"/>
    <w:rsid w:val="00BF375C"/>
    <w:rsid w:val="00BF701F"/>
    <w:rsid w:val="00BF7C5A"/>
    <w:rsid w:val="00C01045"/>
    <w:rsid w:val="00C07BDA"/>
    <w:rsid w:val="00C11A99"/>
    <w:rsid w:val="00C12AB5"/>
    <w:rsid w:val="00C138A0"/>
    <w:rsid w:val="00C2160B"/>
    <w:rsid w:val="00C22DFB"/>
    <w:rsid w:val="00C24526"/>
    <w:rsid w:val="00C30249"/>
    <w:rsid w:val="00C342BF"/>
    <w:rsid w:val="00C3469B"/>
    <w:rsid w:val="00C3534B"/>
    <w:rsid w:val="00C3710D"/>
    <w:rsid w:val="00C5155E"/>
    <w:rsid w:val="00C516DC"/>
    <w:rsid w:val="00C604A5"/>
    <w:rsid w:val="00C66B58"/>
    <w:rsid w:val="00C6718A"/>
    <w:rsid w:val="00C67C33"/>
    <w:rsid w:val="00C725EB"/>
    <w:rsid w:val="00C725FA"/>
    <w:rsid w:val="00C758CC"/>
    <w:rsid w:val="00C85094"/>
    <w:rsid w:val="00C9011E"/>
    <w:rsid w:val="00CA65F2"/>
    <w:rsid w:val="00CB002A"/>
    <w:rsid w:val="00CC2C44"/>
    <w:rsid w:val="00CC38A9"/>
    <w:rsid w:val="00CC3C0A"/>
    <w:rsid w:val="00CC6CA8"/>
    <w:rsid w:val="00CC7884"/>
    <w:rsid w:val="00CD13C3"/>
    <w:rsid w:val="00CD162F"/>
    <w:rsid w:val="00CD2646"/>
    <w:rsid w:val="00CD528E"/>
    <w:rsid w:val="00CD7C56"/>
    <w:rsid w:val="00CE4FDB"/>
    <w:rsid w:val="00CE67E3"/>
    <w:rsid w:val="00CE6DCD"/>
    <w:rsid w:val="00CF0E47"/>
    <w:rsid w:val="00CF1FD5"/>
    <w:rsid w:val="00CF791A"/>
    <w:rsid w:val="00D01FD7"/>
    <w:rsid w:val="00D04206"/>
    <w:rsid w:val="00D07348"/>
    <w:rsid w:val="00D10A63"/>
    <w:rsid w:val="00D145AC"/>
    <w:rsid w:val="00D16DA3"/>
    <w:rsid w:val="00D178BB"/>
    <w:rsid w:val="00D17B1A"/>
    <w:rsid w:val="00D24094"/>
    <w:rsid w:val="00D26654"/>
    <w:rsid w:val="00D31731"/>
    <w:rsid w:val="00D40836"/>
    <w:rsid w:val="00D41663"/>
    <w:rsid w:val="00D417E0"/>
    <w:rsid w:val="00D41CB3"/>
    <w:rsid w:val="00D44EA5"/>
    <w:rsid w:val="00D50EC4"/>
    <w:rsid w:val="00D53A93"/>
    <w:rsid w:val="00D60DDB"/>
    <w:rsid w:val="00D7009C"/>
    <w:rsid w:val="00D76408"/>
    <w:rsid w:val="00D81A3D"/>
    <w:rsid w:val="00D90AB2"/>
    <w:rsid w:val="00D9208B"/>
    <w:rsid w:val="00D93100"/>
    <w:rsid w:val="00D93F11"/>
    <w:rsid w:val="00DA382B"/>
    <w:rsid w:val="00DA3BA5"/>
    <w:rsid w:val="00DA3CEC"/>
    <w:rsid w:val="00DA5AC7"/>
    <w:rsid w:val="00DA7E7F"/>
    <w:rsid w:val="00DB23BD"/>
    <w:rsid w:val="00DB5541"/>
    <w:rsid w:val="00DB57F4"/>
    <w:rsid w:val="00DC2C3E"/>
    <w:rsid w:val="00DF02F2"/>
    <w:rsid w:val="00DF35EF"/>
    <w:rsid w:val="00DF4D59"/>
    <w:rsid w:val="00DF5EE4"/>
    <w:rsid w:val="00DF6C61"/>
    <w:rsid w:val="00E03BE6"/>
    <w:rsid w:val="00E05641"/>
    <w:rsid w:val="00E11E86"/>
    <w:rsid w:val="00E123CF"/>
    <w:rsid w:val="00E14FB2"/>
    <w:rsid w:val="00E16BBF"/>
    <w:rsid w:val="00E24CAC"/>
    <w:rsid w:val="00E25011"/>
    <w:rsid w:val="00E2747E"/>
    <w:rsid w:val="00E31E4C"/>
    <w:rsid w:val="00E363EB"/>
    <w:rsid w:val="00E3795E"/>
    <w:rsid w:val="00E5186C"/>
    <w:rsid w:val="00E52520"/>
    <w:rsid w:val="00E627D1"/>
    <w:rsid w:val="00E70644"/>
    <w:rsid w:val="00E728CC"/>
    <w:rsid w:val="00E769FA"/>
    <w:rsid w:val="00E826B2"/>
    <w:rsid w:val="00E86635"/>
    <w:rsid w:val="00E916A7"/>
    <w:rsid w:val="00E91F8D"/>
    <w:rsid w:val="00E979D1"/>
    <w:rsid w:val="00EA4242"/>
    <w:rsid w:val="00EA7732"/>
    <w:rsid w:val="00EB39BE"/>
    <w:rsid w:val="00EB5D24"/>
    <w:rsid w:val="00EC0BB0"/>
    <w:rsid w:val="00EC4687"/>
    <w:rsid w:val="00EC5CF4"/>
    <w:rsid w:val="00EE17E0"/>
    <w:rsid w:val="00EE3E52"/>
    <w:rsid w:val="00EF35B3"/>
    <w:rsid w:val="00EF4414"/>
    <w:rsid w:val="00EF53FD"/>
    <w:rsid w:val="00F30F44"/>
    <w:rsid w:val="00F31B82"/>
    <w:rsid w:val="00F357AA"/>
    <w:rsid w:val="00F41659"/>
    <w:rsid w:val="00F42DF6"/>
    <w:rsid w:val="00F45F21"/>
    <w:rsid w:val="00F5319B"/>
    <w:rsid w:val="00F56594"/>
    <w:rsid w:val="00F60A81"/>
    <w:rsid w:val="00F60B9C"/>
    <w:rsid w:val="00F67F9A"/>
    <w:rsid w:val="00F7367C"/>
    <w:rsid w:val="00F776D2"/>
    <w:rsid w:val="00F826E6"/>
    <w:rsid w:val="00F85694"/>
    <w:rsid w:val="00F90356"/>
    <w:rsid w:val="00F92827"/>
    <w:rsid w:val="00FA2C10"/>
    <w:rsid w:val="00FA36E8"/>
    <w:rsid w:val="00FA3E10"/>
    <w:rsid w:val="00FA416E"/>
    <w:rsid w:val="00FA4279"/>
    <w:rsid w:val="00FA4AA1"/>
    <w:rsid w:val="00FA6D89"/>
    <w:rsid w:val="00FA734E"/>
    <w:rsid w:val="00FB3A4A"/>
    <w:rsid w:val="00FB539A"/>
    <w:rsid w:val="00FB5BB8"/>
    <w:rsid w:val="00FC6568"/>
    <w:rsid w:val="00FD41EA"/>
    <w:rsid w:val="00FD4847"/>
    <w:rsid w:val="00FE07F0"/>
    <w:rsid w:val="00FE6554"/>
    <w:rsid w:val="00FF16A4"/>
    <w:rsid w:val="00FF5403"/>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1F2DB66A-D9A6-4F3C-953D-590D26BC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28"/>
  </w:style>
  <w:style w:type="paragraph" w:styleId="Heading1">
    <w:name w:val="heading 1"/>
    <w:basedOn w:val="Normal"/>
    <w:next w:val="Normal"/>
    <w:link w:val="Heading1Char"/>
    <w:uiPriority w:val="9"/>
    <w:qFormat/>
    <w:rsid w:val="00E728CC"/>
    <w:pPr>
      <w:keepNext/>
      <w:keepLines/>
      <w:spacing w:before="240" w:after="0"/>
      <w:outlineLvl w:val="0"/>
    </w:pPr>
    <w:rPr>
      <w:rFonts w:ascii="Arial" w:eastAsiaTheme="majorEastAsia" w:hAnsi="Arial"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24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ACF"/>
    <w:pPr>
      <w:keepNext/>
      <w:keepLines/>
      <w:spacing w:before="120" w:after="120"/>
      <w:outlineLvl w:val="2"/>
    </w:pPr>
    <w:rPr>
      <w:rFonts w:ascii="Arial" w:eastAsiaTheme="majorEastAsia" w:hAnsi="Arial"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rFonts w:ascii="Arial" w:hAnsi="Arial"/>
      <w:sz w:val="24"/>
    </w:rPr>
  </w:style>
  <w:style w:type="character" w:customStyle="1" w:styleId="Heading2Char">
    <w:name w:val="Heading 2 Char"/>
    <w:basedOn w:val="DefaultParagraphFont"/>
    <w:link w:val="Heading2"/>
    <w:uiPriority w:val="9"/>
    <w:rsid w:val="00D240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92694"/>
    <w:pPr>
      <w:spacing w:after="100"/>
      <w:ind w:left="220"/>
    </w:pPr>
  </w:style>
  <w:style w:type="character" w:customStyle="1" w:styleId="Heading3Char">
    <w:name w:val="Heading 3 Char"/>
    <w:basedOn w:val="DefaultParagraphFont"/>
    <w:link w:val="Heading3"/>
    <w:uiPriority w:val="9"/>
    <w:rsid w:val="00475AC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D41663"/>
    <w:pPr>
      <w:tabs>
        <w:tab w:val="right" w:leader="dot" w:pos="9016"/>
      </w:tabs>
      <w:spacing w:after="100"/>
      <w:ind w:left="440"/>
    </w:pPr>
    <w:rPr>
      <w:rFonts w:ascii="Arial" w:hAnsi="Arial" w:cs="Arial"/>
      <w:noProof/>
    </w:rPr>
  </w:style>
  <w:style w:type="paragraph" w:styleId="Quote">
    <w:name w:val="Quote"/>
    <w:basedOn w:val="Normal"/>
    <w:next w:val="Normal"/>
    <w:link w:val="QuoteChar"/>
    <w:uiPriority w:val="29"/>
    <w:qFormat/>
    <w:rsid w:val="00C90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011E"/>
    <w:rPr>
      <w:i/>
      <w:iCs/>
      <w:color w:val="404040" w:themeColor="text1" w:themeTint="BF"/>
    </w:rPr>
  </w:style>
  <w:style w:type="paragraph" w:styleId="NormalWeb">
    <w:name w:val="Normal (Web)"/>
    <w:basedOn w:val="Normal"/>
    <w:uiPriority w:val="99"/>
    <w:semiHidden/>
    <w:unhideWhenUsed/>
    <w:rsid w:val="00C67C33"/>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9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406340744">
      <w:bodyDiv w:val="1"/>
      <w:marLeft w:val="0"/>
      <w:marRight w:val="0"/>
      <w:marTop w:val="0"/>
      <w:marBottom w:val="0"/>
      <w:divBdr>
        <w:top w:val="none" w:sz="0" w:space="0" w:color="auto"/>
        <w:left w:val="none" w:sz="0" w:space="0" w:color="auto"/>
        <w:bottom w:val="none" w:sz="0" w:space="0" w:color="auto"/>
        <w:right w:val="none" w:sz="0" w:space="0" w:color="auto"/>
      </w:divBdr>
    </w:div>
    <w:div w:id="533738382">
      <w:bodyDiv w:val="1"/>
      <w:marLeft w:val="0"/>
      <w:marRight w:val="0"/>
      <w:marTop w:val="0"/>
      <w:marBottom w:val="0"/>
      <w:divBdr>
        <w:top w:val="none" w:sz="0" w:space="0" w:color="auto"/>
        <w:left w:val="none" w:sz="0" w:space="0" w:color="auto"/>
        <w:bottom w:val="none" w:sz="0" w:space="0" w:color="auto"/>
        <w:right w:val="none" w:sz="0" w:space="0" w:color="auto"/>
      </w:divBdr>
    </w:div>
    <w:div w:id="671418579">
      <w:bodyDiv w:val="1"/>
      <w:marLeft w:val="0"/>
      <w:marRight w:val="0"/>
      <w:marTop w:val="0"/>
      <w:marBottom w:val="0"/>
      <w:divBdr>
        <w:top w:val="none" w:sz="0" w:space="0" w:color="auto"/>
        <w:left w:val="none" w:sz="0" w:space="0" w:color="auto"/>
        <w:bottom w:val="none" w:sz="0" w:space="0" w:color="auto"/>
        <w:right w:val="none" w:sz="0" w:space="0" w:color="auto"/>
      </w:divBdr>
    </w:div>
    <w:div w:id="780493559">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097403929">
      <w:bodyDiv w:val="1"/>
      <w:marLeft w:val="0"/>
      <w:marRight w:val="0"/>
      <w:marTop w:val="0"/>
      <w:marBottom w:val="0"/>
      <w:divBdr>
        <w:top w:val="none" w:sz="0" w:space="0" w:color="auto"/>
        <w:left w:val="none" w:sz="0" w:space="0" w:color="auto"/>
        <w:bottom w:val="none" w:sz="0" w:space="0" w:color="auto"/>
        <w:right w:val="none" w:sz="0" w:space="0" w:color="auto"/>
      </w:divBdr>
    </w:div>
    <w:div w:id="1480197255">
      <w:bodyDiv w:val="1"/>
      <w:marLeft w:val="0"/>
      <w:marRight w:val="0"/>
      <w:marTop w:val="0"/>
      <w:marBottom w:val="0"/>
      <w:divBdr>
        <w:top w:val="none" w:sz="0" w:space="0" w:color="auto"/>
        <w:left w:val="none" w:sz="0" w:space="0" w:color="auto"/>
        <w:bottom w:val="none" w:sz="0" w:space="0" w:color="auto"/>
        <w:right w:val="none" w:sz="0" w:space="0" w:color="auto"/>
      </w:divBdr>
    </w:div>
    <w:div w:id="1546603128">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20254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d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ws.com.au/national/queensland/news/neighbours-repeatedly-warned-authorities-about-two-teens-kept-in-squalid-brisbane-room/news-story/5dfc3245eb0f82734e6c9f9fe2dadaa8" TargetMode="External"/><Relationship Id="rId2" Type="http://schemas.openxmlformats.org/officeDocument/2006/relationships/hyperlink" Target="https://www.abc.net.au/news/2020-05-29/willow-dunn-death-mistreatment-alleged-child-family-commission/12300306" TargetMode="External"/><Relationship Id="rId1" Type="http://schemas.openxmlformats.org/officeDocument/2006/relationships/hyperlink" Target="https://dhs.sa.gov.au/latest-news/safeguarding-taskforce/safeguarding-task-force-report-july-2020/attachments2" TargetMode="External"/><Relationship Id="rId4" Type="http://schemas.openxmlformats.org/officeDocument/2006/relationships/hyperlink" Target="https://humanrights.gov.au/our-work/disability-rights/publications/future-without-violence-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652-2082-4FD7-AD5B-6E8FFB9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Maeve Kennedy</cp:lastModifiedBy>
  <cp:revision>8</cp:revision>
  <cp:lastPrinted>2020-08-14T06:18:00Z</cp:lastPrinted>
  <dcterms:created xsi:type="dcterms:W3CDTF">2020-08-11T01:38:00Z</dcterms:created>
  <dcterms:modified xsi:type="dcterms:W3CDTF">2020-08-14T06:18:00Z</dcterms:modified>
</cp:coreProperties>
</file>