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EF" w:rsidRPr="00FD5CAD" w:rsidRDefault="004917EF" w:rsidP="004917EF">
      <w:r w:rsidRPr="00021DE7">
        <w:t>Children with Disability A</w:t>
      </w:r>
      <w:bookmarkStart w:id="0" w:name="_GoBack"/>
      <w:bookmarkEnd w:id="0"/>
      <w:r w:rsidRPr="00021DE7">
        <w:t>ustralia</w:t>
      </w:r>
      <w:r w:rsidR="00B35237" w:rsidRPr="00021DE7">
        <w:t xml:space="preserve"> </w:t>
      </w:r>
      <w:r w:rsidR="00FD5CAD">
        <w:t>(</w:t>
      </w:r>
      <w:r w:rsidR="001A4700" w:rsidRPr="00021DE7">
        <w:t>CDA</w:t>
      </w:r>
      <w:r w:rsidR="00FD5CAD">
        <w:t>)</w:t>
      </w:r>
      <w:r w:rsidRPr="00021DE7">
        <w:t xml:space="preserve"> is the national peak body that represents children and young people with disability, aged 0-25 years. CDA has a national membership of 5000 with the majority being families.</w:t>
      </w:r>
      <w:r w:rsidR="00FD5CAD">
        <w:t xml:space="preserve"> </w:t>
      </w:r>
      <w:r w:rsidR="00021DE7" w:rsidRPr="00021DE7">
        <w:rPr>
          <w:rFonts w:cstheme="minorHAnsi"/>
        </w:rPr>
        <w:t>CDA's vision is that children and young people with disability living in Australia are afforded every opportunity to thrive, achieve their potential and that their rights and interests as individuals, members of a family and their community are met.</w:t>
      </w:r>
      <w:r w:rsidR="00021DE7">
        <w:rPr>
          <w:rFonts w:cstheme="minorHAnsi"/>
        </w:rPr>
        <w:t xml:space="preserve"> </w:t>
      </w:r>
      <w:r w:rsidR="00592D23" w:rsidRPr="00021DE7">
        <w:t>Further</w:t>
      </w:r>
      <w:r w:rsidR="00CA557A" w:rsidRPr="00021DE7">
        <w:t xml:space="preserve"> information </w:t>
      </w:r>
      <w:r w:rsidR="008B42F1">
        <w:t>about</w:t>
      </w:r>
      <w:r w:rsidR="00CA557A" w:rsidRPr="00021DE7">
        <w:t xml:space="preserve"> the </w:t>
      </w:r>
      <w:r w:rsidR="00592D23" w:rsidRPr="00021DE7">
        <w:t>organisation</w:t>
      </w:r>
      <w:r w:rsidR="00CA557A" w:rsidRPr="00021DE7">
        <w:t xml:space="preserve"> is </w:t>
      </w:r>
      <w:r w:rsidR="00B35237" w:rsidRPr="00021DE7">
        <w:t xml:space="preserve">available </w:t>
      </w:r>
      <w:r w:rsidR="00CA557A" w:rsidRPr="00021DE7">
        <w:t xml:space="preserve">at </w:t>
      </w:r>
      <w:hyperlink r:id="rId8" w:history="1">
        <w:r w:rsidR="00592D23" w:rsidRPr="00021DE7">
          <w:rPr>
            <w:rStyle w:val="Hyperlink"/>
          </w:rPr>
          <w:t>www.cda.org.au</w:t>
        </w:r>
      </w:hyperlink>
      <w:r w:rsidR="00592D23" w:rsidRPr="00021DE7">
        <w:t xml:space="preserve"> </w:t>
      </w:r>
    </w:p>
    <w:p w:rsidR="00DB1D0F" w:rsidRPr="00021DE7" w:rsidRDefault="00DB1D0F" w:rsidP="004917EF"/>
    <w:p w:rsidR="00DB1D0F" w:rsidRPr="00021DE7" w:rsidRDefault="00FD5CAD" w:rsidP="004917EF">
      <w:r>
        <w:t>CDA</w:t>
      </w:r>
      <w:r w:rsidRPr="00021DE7">
        <w:t xml:space="preserve"> welcomes the opportunity to make a brief submission </w:t>
      </w:r>
      <w:r>
        <w:t>to</w:t>
      </w:r>
      <w:r w:rsidRPr="00021DE7">
        <w:t xml:space="preserve"> the review </w:t>
      </w:r>
      <w:r>
        <w:t xml:space="preserve">panel </w:t>
      </w:r>
      <w:r w:rsidRPr="00021DE7">
        <w:t xml:space="preserve">of the Australian Curriculum. </w:t>
      </w:r>
      <w:r>
        <w:t>F</w:t>
      </w:r>
      <w:r w:rsidR="00DB1D0F" w:rsidRPr="00021DE7">
        <w:t>urther information</w:t>
      </w:r>
      <w:r>
        <w:t xml:space="preserve"> can be provided</w:t>
      </w:r>
      <w:r w:rsidR="00DB1D0F" w:rsidRPr="00021DE7">
        <w:t xml:space="preserve"> </w:t>
      </w:r>
      <w:r w:rsidR="000527CA" w:rsidRPr="00021DE7">
        <w:t>through direct</w:t>
      </w:r>
      <w:r w:rsidR="00592D23" w:rsidRPr="00021DE7">
        <w:t xml:space="preserve"> discuss</w:t>
      </w:r>
      <w:r w:rsidR="000527CA" w:rsidRPr="00021DE7">
        <w:t>ion with the review panel</w:t>
      </w:r>
      <w:r>
        <w:t xml:space="preserve"> if necessary</w:t>
      </w:r>
      <w:r w:rsidR="00592D23" w:rsidRPr="00021DE7">
        <w:t>.</w:t>
      </w:r>
    </w:p>
    <w:p w:rsidR="004917EF" w:rsidRPr="00021DE7" w:rsidRDefault="004917EF" w:rsidP="004917EF"/>
    <w:p w:rsidR="00021DE7" w:rsidRDefault="0075542C" w:rsidP="00CA557A">
      <w:r>
        <w:t>9% of children aged 5-14 have a disability.</w:t>
      </w:r>
      <w:r>
        <w:rPr>
          <w:rStyle w:val="FootnoteReference"/>
        </w:rPr>
        <w:footnoteReference w:id="1"/>
      </w:r>
      <w:r>
        <w:t xml:space="preserve"> </w:t>
      </w:r>
      <w:r w:rsidR="00FC5606">
        <w:t>Just over 90% of students with disability attend mainstream schools.</w:t>
      </w:r>
      <w:r w:rsidR="00FC5606">
        <w:rPr>
          <w:rStyle w:val="FootnoteReference"/>
        </w:rPr>
        <w:footnoteReference w:id="2"/>
      </w:r>
      <w:r w:rsidR="00FC5606">
        <w:t xml:space="preserve"> It is typical to have 1-2 students with disability</w:t>
      </w:r>
      <w:r w:rsidR="00694642">
        <w:t xml:space="preserve"> in</w:t>
      </w:r>
      <w:r w:rsidR="00FC5606">
        <w:t xml:space="preserve"> classrooms across Australia. It is therefore highly important for the </w:t>
      </w:r>
      <w:r w:rsidR="0049297C">
        <w:t>education system</w:t>
      </w:r>
      <w:r w:rsidR="00FC5606">
        <w:t xml:space="preserve"> to reflect best practice with regard to </w:t>
      </w:r>
      <w:r w:rsidR="008B42F1">
        <w:t>education provision for</w:t>
      </w:r>
      <w:r w:rsidR="00FC5606">
        <w:t xml:space="preserve"> students with disability. An essential component of this is teaching children about the value and contribution which </w:t>
      </w:r>
      <w:r w:rsidR="00FC5606" w:rsidRPr="00637D94">
        <w:rPr>
          <w:b/>
          <w:i/>
        </w:rPr>
        <w:t>all</w:t>
      </w:r>
      <w:r w:rsidR="00FC5606">
        <w:t xml:space="preserve"> children make</w:t>
      </w:r>
      <w:r w:rsidR="0049297C">
        <w:t xml:space="preserve"> to our community, including schools, namely inclusion. CDA believes that ‘inclusion’ should be part of the national curriculum</w:t>
      </w:r>
      <w:r w:rsidR="00FC5606">
        <w:t>.</w:t>
      </w:r>
    </w:p>
    <w:p w:rsidR="00021DE7" w:rsidRDefault="00021DE7" w:rsidP="00CA557A"/>
    <w:p w:rsidR="00CA557A" w:rsidRPr="00021DE7" w:rsidRDefault="00CA557A" w:rsidP="00CA557A">
      <w:r w:rsidRPr="00021DE7">
        <w:t xml:space="preserve">Students and families frequently report that </w:t>
      </w:r>
      <w:r w:rsidR="00FC5606">
        <w:t>in their education experiences</w:t>
      </w:r>
      <w:r w:rsidRPr="00021DE7">
        <w:t xml:space="preserve"> their children are subject to limited opportunities; low expectations; exclusion; bullying; discrimination; and violation of human rights.</w:t>
      </w:r>
    </w:p>
    <w:p w:rsidR="00CA557A" w:rsidRPr="00021DE7" w:rsidRDefault="00CA557A" w:rsidP="00CA557A"/>
    <w:p w:rsidR="008C6EBF" w:rsidRPr="00021DE7" w:rsidRDefault="008C6EBF" w:rsidP="004917EF">
      <w:r w:rsidRPr="00021DE7">
        <w:t>CDA has provided detailed submissions previously to a range of education consultations which have detailed that the current education system is not adequately meeting the needs of students with disabilit</w:t>
      </w:r>
      <w:r w:rsidR="00E10C50" w:rsidRPr="00021DE7">
        <w:t>y</w:t>
      </w:r>
      <w:r w:rsidR="00A04EBD" w:rsidRPr="00021DE7">
        <w:t xml:space="preserve">. </w:t>
      </w:r>
      <w:r w:rsidR="00584215" w:rsidRPr="00021DE7">
        <w:t>Relevant submissions include Review of Disability Standards for Education 2005 (May 2011), Review of Funding for Schooling (March 2011 &amp;</w:t>
      </w:r>
      <w:r w:rsidR="000D38E4" w:rsidRPr="00021DE7">
        <w:t xml:space="preserve"> September 2011</w:t>
      </w:r>
      <w:r w:rsidR="00584215" w:rsidRPr="00021DE7">
        <w:t>)</w:t>
      </w:r>
      <w:r w:rsidR="00E10C50" w:rsidRPr="00021DE7">
        <w:t>, Senate inquiry into teaching and learning – maximizing our investments in Australian Schools (Oct 2012). School Workforce Productivity Commission Report (Feb 2012)</w:t>
      </w:r>
      <w:r w:rsidR="00592D23" w:rsidRPr="00021DE7">
        <w:t xml:space="preserve"> and </w:t>
      </w:r>
      <w:r w:rsidR="000D38E4" w:rsidRPr="00021DE7">
        <w:t>the Australia</w:t>
      </w:r>
      <w:r w:rsidR="00E10C50" w:rsidRPr="00021DE7">
        <w:t>n Education Bill 2012 (Feb 2013)</w:t>
      </w:r>
      <w:r w:rsidR="000D38E4" w:rsidRPr="00021DE7">
        <w:t xml:space="preserve">. These submissions are available at </w:t>
      </w:r>
      <w:hyperlink r:id="rId9" w:history="1">
        <w:r w:rsidR="000D38E4" w:rsidRPr="00021DE7">
          <w:rPr>
            <w:rStyle w:val="Hyperlink"/>
          </w:rPr>
          <w:t>http://www.cda.org.au/cdasubmissions</w:t>
        </w:r>
      </w:hyperlink>
      <w:r w:rsidR="000D38E4" w:rsidRPr="00021DE7">
        <w:t xml:space="preserve"> </w:t>
      </w:r>
    </w:p>
    <w:p w:rsidR="008C6EBF" w:rsidRPr="00021DE7" w:rsidRDefault="008C6EBF" w:rsidP="004917EF"/>
    <w:p w:rsidR="004917EF" w:rsidRPr="00021DE7" w:rsidRDefault="008C6EBF" w:rsidP="004917EF">
      <w:r w:rsidRPr="00021DE7">
        <w:t xml:space="preserve">Statistics </w:t>
      </w:r>
      <w:r w:rsidR="00694642">
        <w:t>show</w:t>
      </w:r>
      <w:r w:rsidRPr="00021DE7">
        <w:t xml:space="preserve"> that there is a significant </w:t>
      </w:r>
      <w:r w:rsidR="00B35237" w:rsidRPr="00021DE7">
        <w:t>difference</w:t>
      </w:r>
      <w:r w:rsidRPr="00021DE7">
        <w:t xml:space="preserve"> in education outcomes for students with disability</w:t>
      </w:r>
      <w:r w:rsidR="00694642">
        <w:t xml:space="preserve"> compared with their peers without disability</w:t>
      </w:r>
      <w:r w:rsidRPr="00021DE7">
        <w:t xml:space="preserve">. </w:t>
      </w:r>
      <w:r w:rsidR="00B62276" w:rsidRPr="00021DE7">
        <w:t xml:space="preserve">Currently 26% of </w:t>
      </w:r>
      <w:r w:rsidR="00694642">
        <w:t>student</w:t>
      </w:r>
      <w:r w:rsidR="00B62276" w:rsidRPr="00021DE7">
        <w:t xml:space="preserve"> with disability do not go past Year 10,</w:t>
      </w:r>
      <w:r w:rsidR="00FC5606">
        <w:rPr>
          <w:rStyle w:val="FootnoteReference"/>
        </w:rPr>
        <w:footnoteReference w:id="3"/>
      </w:r>
      <w:r w:rsidR="00B62276" w:rsidRPr="00021DE7">
        <w:t xml:space="preserve"> with </w:t>
      </w:r>
      <w:r w:rsidR="00B35237" w:rsidRPr="00021DE7">
        <w:t xml:space="preserve">only </w:t>
      </w:r>
      <w:r w:rsidR="00B62276" w:rsidRPr="00021DE7">
        <w:t xml:space="preserve">36% </w:t>
      </w:r>
      <w:r w:rsidR="00E10C50" w:rsidRPr="00021DE7">
        <w:t xml:space="preserve">completing </w:t>
      </w:r>
      <w:r w:rsidR="00B62276" w:rsidRPr="00021DE7">
        <w:t>Year 12 compared to a completion rate of 60% for people without disability.</w:t>
      </w:r>
      <w:r w:rsidR="00FF6177">
        <w:rPr>
          <w:rStyle w:val="FootnoteReference"/>
        </w:rPr>
        <w:footnoteReference w:id="4"/>
      </w:r>
      <w:r w:rsidR="00FF6177" w:rsidRPr="00021DE7">
        <w:t xml:space="preserve"> </w:t>
      </w:r>
      <w:r w:rsidR="00694642">
        <w:t>This is</w:t>
      </w:r>
      <w:r w:rsidR="00B35237" w:rsidRPr="00021DE7">
        <w:t xml:space="preserve"> further</w:t>
      </w:r>
      <w:r w:rsidR="00B84FE8" w:rsidRPr="00021DE7">
        <w:t xml:space="preserve"> </w:t>
      </w:r>
      <w:r w:rsidR="001F20ED" w:rsidRPr="00021DE7">
        <w:t>evidenced by</w:t>
      </w:r>
      <w:r w:rsidR="00B84FE8" w:rsidRPr="00021DE7">
        <w:t xml:space="preserve"> the </w:t>
      </w:r>
      <w:r w:rsidR="00B84FE8" w:rsidRPr="00021DE7">
        <w:lastRenderedPageBreak/>
        <w:t>workforce participation</w:t>
      </w:r>
      <w:r w:rsidR="005D3FC6" w:rsidRPr="00021DE7">
        <w:t xml:space="preserve"> rate</w:t>
      </w:r>
      <w:r w:rsidR="00B84FE8" w:rsidRPr="00021DE7">
        <w:t xml:space="preserve"> of people with disability with only 53% in full time employment compared to 83</w:t>
      </w:r>
      <w:r w:rsidR="00FF6177">
        <w:t>% of the rest of the population.</w:t>
      </w:r>
      <w:r w:rsidR="00B234F0">
        <w:rPr>
          <w:rStyle w:val="FootnoteReference"/>
        </w:rPr>
        <w:footnoteReference w:id="5"/>
      </w:r>
    </w:p>
    <w:p w:rsidR="000F4937" w:rsidRPr="00021DE7" w:rsidRDefault="000F4937" w:rsidP="000F4937">
      <w:pPr>
        <w:rPr>
          <w:rFonts w:eastAsia="MS Mincho" w:cstheme="minorHAnsi"/>
        </w:rPr>
      </w:pPr>
    </w:p>
    <w:p w:rsidR="00721B33" w:rsidRDefault="000F4937" w:rsidP="00721B33">
      <w:pPr>
        <w:rPr>
          <w:rFonts w:eastAsia="MS Mincho" w:cstheme="minorHAnsi"/>
        </w:rPr>
      </w:pPr>
      <w:r w:rsidRPr="00021DE7">
        <w:rPr>
          <w:rFonts w:eastAsia="MS Mincho" w:cstheme="minorHAnsi"/>
        </w:rPr>
        <w:t xml:space="preserve">CDA recently </w:t>
      </w:r>
      <w:r w:rsidR="0049297C">
        <w:rPr>
          <w:rFonts w:eastAsia="MS Mincho" w:cstheme="minorHAnsi"/>
        </w:rPr>
        <w:t>commissioned Macqua</w:t>
      </w:r>
      <w:r w:rsidR="00637D94">
        <w:rPr>
          <w:rFonts w:eastAsia="MS Mincho" w:cstheme="minorHAnsi"/>
        </w:rPr>
        <w:t>rie University to co</w:t>
      </w:r>
      <w:r w:rsidR="0049297C">
        <w:rPr>
          <w:rFonts w:eastAsia="MS Mincho" w:cstheme="minorHAnsi"/>
        </w:rPr>
        <w:t>mplete</w:t>
      </w:r>
      <w:r w:rsidR="00637D94">
        <w:rPr>
          <w:rFonts w:eastAsia="MS Mincho" w:cstheme="minorHAnsi"/>
        </w:rPr>
        <w:t xml:space="preserve"> </w:t>
      </w:r>
      <w:r w:rsidR="006804A4">
        <w:rPr>
          <w:rFonts w:eastAsia="MS Mincho" w:cstheme="minorHAnsi"/>
        </w:rPr>
        <w:t>an</w:t>
      </w:r>
      <w:r w:rsidRPr="00021DE7">
        <w:rPr>
          <w:rFonts w:eastAsia="MS Mincho" w:cstheme="minorHAnsi"/>
        </w:rPr>
        <w:t xml:space="preserve"> issues paper</w:t>
      </w:r>
      <w:r w:rsidR="00BA7329">
        <w:rPr>
          <w:rFonts w:eastAsia="MS Mincho" w:cstheme="minorHAnsi"/>
        </w:rPr>
        <w:t>,</w:t>
      </w:r>
      <w:r w:rsidRPr="00021DE7">
        <w:rPr>
          <w:rFonts w:eastAsia="MS Mincho" w:cstheme="minorHAnsi"/>
        </w:rPr>
        <w:t xml:space="preserve"> </w:t>
      </w:r>
      <w:r w:rsidRPr="00021DE7">
        <w:rPr>
          <w:rFonts w:eastAsia="MS Mincho" w:cstheme="minorHAnsi"/>
          <w:i/>
        </w:rPr>
        <w:t>Inclusion in education – Towards equal</w:t>
      </w:r>
      <w:r w:rsidR="00FF073E">
        <w:rPr>
          <w:rFonts w:eastAsia="MS Mincho" w:cstheme="minorHAnsi"/>
          <w:i/>
        </w:rPr>
        <w:t>ity for students with disability.</w:t>
      </w:r>
      <w:r w:rsidR="006804A4">
        <w:rPr>
          <w:rStyle w:val="FootnoteReference"/>
          <w:rFonts w:eastAsia="MS Mincho" w:cstheme="minorHAnsi"/>
          <w:i/>
        </w:rPr>
        <w:footnoteReference w:id="6"/>
      </w:r>
      <w:r w:rsidR="00637D94">
        <w:rPr>
          <w:rFonts w:eastAsia="MS Mincho" w:cstheme="minorHAnsi"/>
        </w:rPr>
        <w:t xml:space="preserve"> This research</w:t>
      </w:r>
      <w:r w:rsidR="00637D94" w:rsidRPr="00021DE7">
        <w:rPr>
          <w:rFonts w:eastAsia="MS Mincho" w:cstheme="minorHAnsi"/>
        </w:rPr>
        <w:t xml:space="preserve"> identifies</w:t>
      </w:r>
      <w:r w:rsidRPr="00021DE7">
        <w:rPr>
          <w:rFonts w:eastAsia="MS Mincho" w:cstheme="minorHAnsi"/>
        </w:rPr>
        <w:t xml:space="preserve"> the major barriers to inclusion </w:t>
      </w:r>
      <w:r w:rsidR="00BA7329" w:rsidRPr="00021DE7">
        <w:rPr>
          <w:rFonts w:eastAsia="MS Mincho" w:cstheme="minorHAnsi"/>
        </w:rPr>
        <w:t xml:space="preserve">that currently exist </w:t>
      </w:r>
      <w:r w:rsidR="00FF073E">
        <w:rPr>
          <w:rFonts w:eastAsia="MS Mincho" w:cstheme="minorHAnsi"/>
        </w:rPr>
        <w:t>and provides re</w:t>
      </w:r>
      <w:r w:rsidR="00FF073E" w:rsidRPr="00021DE7">
        <w:rPr>
          <w:rFonts w:eastAsia="MS Mincho" w:cstheme="minorHAnsi"/>
        </w:rPr>
        <w:t>commendations</w:t>
      </w:r>
      <w:r w:rsidRPr="00021DE7">
        <w:rPr>
          <w:rFonts w:eastAsia="MS Mincho" w:cstheme="minorHAnsi"/>
        </w:rPr>
        <w:t xml:space="preserve"> to overcome these issues.</w:t>
      </w:r>
      <w:r w:rsidR="006804A4">
        <w:rPr>
          <w:rFonts w:eastAsia="MS Mincho" w:cstheme="minorHAnsi"/>
        </w:rPr>
        <w:t xml:space="preserve"> </w:t>
      </w:r>
      <w:r w:rsidR="00721B33">
        <w:rPr>
          <w:rFonts w:eastAsia="MS Mincho" w:cstheme="minorHAnsi"/>
        </w:rPr>
        <w:t>The paper discusses the considerable body of evidence that demonstrates the benefits of inclusive education for all students. In particular, the research literature overwhelmingly supports inclusive education as a facilitator of positive outcomes for social, academic, cognitive and physical development in children who do and do not experience disabi</w:t>
      </w:r>
      <w:r w:rsidR="009F479C">
        <w:rPr>
          <w:rFonts w:eastAsia="MS Mincho" w:cstheme="minorHAnsi"/>
        </w:rPr>
        <w:t>lity.</w:t>
      </w:r>
      <w:r w:rsidR="00FC5E43">
        <w:rPr>
          <w:rStyle w:val="FootnoteReference"/>
          <w:rFonts w:eastAsia="MS Mincho" w:cstheme="minorHAnsi"/>
        </w:rPr>
        <w:footnoteReference w:id="7"/>
      </w:r>
    </w:p>
    <w:p w:rsidR="00721B33" w:rsidRDefault="00721B33" w:rsidP="00721B33">
      <w:pPr>
        <w:rPr>
          <w:rFonts w:eastAsia="MS Mincho" w:cstheme="minorHAnsi"/>
        </w:rPr>
      </w:pPr>
    </w:p>
    <w:p w:rsidR="00FC5E43" w:rsidRDefault="00721B33" w:rsidP="00721B33">
      <w:pPr>
        <w:rPr>
          <w:rFonts w:eastAsia="MS Mincho" w:cstheme="minorHAnsi"/>
        </w:rPr>
      </w:pPr>
      <w:r>
        <w:rPr>
          <w:rFonts w:eastAsia="MS Mincho" w:cstheme="minorHAnsi"/>
        </w:rPr>
        <w:t xml:space="preserve">The paper’s author, Dr Kathy Cologon suggests that the term ‘inclusion’ in education is highly contested and often misunderstood. </w:t>
      </w:r>
    </w:p>
    <w:p w:rsidR="00FC5E43" w:rsidRDefault="00FC5E43" w:rsidP="00721B33">
      <w:pPr>
        <w:rPr>
          <w:rFonts w:eastAsia="MS Mincho" w:cstheme="minorHAnsi"/>
        </w:rPr>
      </w:pPr>
    </w:p>
    <w:p w:rsidR="000E132E" w:rsidRDefault="00721B33" w:rsidP="00FC5E43">
      <w:pPr>
        <w:ind w:left="720"/>
        <w:rPr>
          <w:rFonts w:eastAsia="MS Mincho" w:cstheme="minorHAnsi"/>
          <w:lang w:val="en-AU"/>
        </w:rPr>
      </w:pPr>
      <w:r>
        <w:rPr>
          <w:rFonts w:eastAsia="MS Mincho" w:cstheme="minorHAnsi"/>
          <w:lang w:val="en-AU"/>
        </w:rPr>
        <w:t xml:space="preserve">A common misconception </w:t>
      </w:r>
      <w:r w:rsidR="00FE39E8" w:rsidRPr="00721B33">
        <w:rPr>
          <w:rFonts w:eastAsia="MS Mincho" w:cstheme="minorHAnsi"/>
          <w:lang w:val="en-AU"/>
        </w:rPr>
        <w:t>is that inclusive education requires a child (who is being ‘included’) to change or adjust to fit within a setting – as a notion of ass</w:t>
      </w:r>
      <w:r>
        <w:rPr>
          <w:rFonts w:eastAsia="MS Mincho" w:cstheme="minorHAnsi"/>
          <w:lang w:val="en-AU"/>
        </w:rPr>
        <w:t>imila</w:t>
      </w:r>
      <w:r w:rsidR="00FC5E43">
        <w:rPr>
          <w:rFonts w:eastAsia="MS Mincho" w:cstheme="minorHAnsi"/>
          <w:lang w:val="en-AU"/>
        </w:rPr>
        <w:t>tion rather than inclusion</w:t>
      </w:r>
      <w:r>
        <w:rPr>
          <w:rFonts w:eastAsia="MS Mincho" w:cstheme="minorHAnsi"/>
          <w:lang w:val="en-AU"/>
        </w:rPr>
        <w:t>.</w:t>
      </w:r>
      <w:r w:rsidR="00FC5E43">
        <w:rPr>
          <w:rStyle w:val="FootnoteReference"/>
          <w:rFonts w:eastAsia="MS Mincho" w:cstheme="minorHAnsi"/>
          <w:lang w:val="en-AU"/>
        </w:rPr>
        <w:footnoteReference w:id="8"/>
      </w:r>
    </w:p>
    <w:p w:rsidR="000F4937" w:rsidRPr="00721B33" w:rsidRDefault="000F4937" w:rsidP="004917EF">
      <w:pPr>
        <w:rPr>
          <w:rFonts w:eastAsia="MS Mincho" w:cstheme="minorHAnsi"/>
        </w:rPr>
      </w:pPr>
    </w:p>
    <w:p w:rsidR="00222A91" w:rsidRDefault="000F4937" w:rsidP="004917EF">
      <w:r w:rsidRPr="00021DE7">
        <w:t xml:space="preserve">The paper </w:t>
      </w:r>
      <w:r w:rsidR="00721B33">
        <w:t>argues</w:t>
      </w:r>
      <w:r w:rsidRPr="00021DE7">
        <w:t xml:space="preserve"> that currently</w:t>
      </w:r>
      <w:r w:rsidR="00222A91" w:rsidRPr="00021DE7">
        <w:t xml:space="preserve"> within the educational system there is a systemic culture of </w:t>
      </w:r>
      <w:r w:rsidR="00721B33">
        <w:t>negative</w:t>
      </w:r>
      <w:r w:rsidR="00222A91" w:rsidRPr="00021DE7">
        <w:t xml:space="preserve"> attitudes and low expectations towards students with disability. This culture forms a vicious cycle that limits opportunities for students with disability and also influences other students in forming their own cultural preferences and prejudices at a young age about people with disability. </w:t>
      </w:r>
      <w:r w:rsidR="00DB1D0F" w:rsidRPr="00021DE7">
        <w:t>Primary school provides a</w:t>
      </w:r>
      <w:r w:rsidR="0049297C">
        <w:t xml:space="preserve"> </w:t>
      </w:r>
      <w:r w:rsidR="00637D94">
        <w:t xml:space="preserve">unique </w:t>
      </w:r>
      <w:r w:rsidR="00637D94" w:rsidRPr="00021DE7">
        <w:t>opportunity</w:t>
      </w:r>
      <w:r w:rsidR="0049297C">
        <w:t xml:space="preserve"> to</w:t>
      </w:r>
      <w:r w:rsidR="00DB1D0F" w:rsidRPr="00021DE7">
        <w:t xml:space="preserve"> create generational change</w:t>
      </w:r>
      <w:r w:rsidR="00637D94">
        <w:t xml:space="preserve"> </w:t>
      </w:r>
      <w:r w:rsidR="0049297C">
        <w:t>in</w:t>
      </w:r>
      <w:r w:rsidR="00CA557A" w:rsidRPr="00021DE7">
        <w:t xml:space="preserve"> attitudes and understanding of di</w:t>
      </w:r>
      <w:r w:rsidR="006C60AF" w:rsidRPr="00021DE7">
        <w:t>s</w:t>
      </w:r>
      <w:r w:rsidR="00CA557A" w:rsidRPr="00021DE7">
        <w:t>ability</w:t>
      </w:r>
      <w:r w:rsidR="00DB1D0F" w:rsidRPr="00021DE7">
        <w:t>.</w:t>
      </w:r>
      <w:r w:rsidR="00222A91" w:rsidRPr="00021DE7">
        <w:t xml:space="preserve"> </w:t>
      </w:r>
    </w:p>
    <w:p w:rsidR="00FE39E8" w:rsidRDefault="00FE39E8" w:rsidP="004917EF"/>
    <w:p w:rsidR="00FE39E8" w:rsidRPr="00FE39E8" w:rsidRDefault="00FE39E8" w:rsidP="00FE39E8">
      <w:r w:rsidRPr="00021DE7">
        <w:t>Fundamental to tack</w:t>
      </w:r>
      <w:r w:rsidR="008B42F1">
        <w:t>ling the</w:t>
      </w:r>
      <w:r w:rsidRPr="00021DE7">
        <w:t>s</w:t>
      </w:r>
      <w:r w:rsidR="008B42F1">
        <w:t>e</w:t>
      </w:r>
      <w:r w:rsidRPr="00021DE7">
        <w:t xml:space="preserve"> issues and overcoming negative attitudes is the need for inclusion to be </w:t>
      </w:r>
      <w:r>
        <w:t xml:space="preserve">explicitly </w:t>
      </w:r>
      <w:r w:rsidRPr="00021DE7">
        <w:t>taught within the curriculum.</w:t>
      </w:r>
      <w:r>
        <w:t xml:space="preserve"> </w:t>
      </w:r>
      <w:r w:rsidRPr="00FE39E8">
        <w:rPr>
          <w:rFonts w:cstheme="minorHAnsi"/>
        </w:rPr>
        <w:t xml:space="preserve">An example of how inclusion can be incorporated into the curriculum is the ACT Government’s ‘Everyone Everyday’ teaching program. It is a comprehensive teaching resource for mainstream primary schools. The program aims to create a cultural shift in community attitudes towards disability. </w:t>
      </w:r>
      <w:r w:rsidRPr="00FE39E8">
        <w:rPr>
          <w:rFonts w:eastAsia="Times New Roman" w:cstheme="minorHAnsi"/>
          <w:color w:val="000000"/>
          <w:lang w:eastAsia="en-AU"/>
        </w:rPr>
        <w:t xml:space="preserve">The underlying assumption is that we all benefit when the environments in which we work, live and play are inclusive; and that we all have a role to play to create inclusive communities. </w:t>
      </w:r>
      <w:r w:rsidRPr="00FE39E8">
        <w:rPr>
          <w:rFonts w:cstheme="minorHAnsi"/>
        </w:rPr>
        <w:t xml:space="preserve">It is based on the assumption that ‘inclusion’ needs to be explicitly taught, if we are to move from a situation in which children with disability are simply present in mainstream schools; to one in which they are welcomed, valued and enjoy full membership of the school community. </w:t>
      </w:r>
    </w:p>
    <w:p w:rsidR="00FE39E8" w:rsidRDefault="00FE39E8" w:rsidP="00FE39E8">
      <w:pPr>
        <w:rPr>
          <w:rFonts w:cstheme="minorHAnsi"/>
        </w:rPr>
      </w:pPr>
    </w:p>
    <w:p w:rsidR="00266CA4" w:rsidRDefault="00266CA4">
      <w:pPr>
        <w:spacing w:after="200" w:line="276" w:lineRule="auto"/>
        <w:rPr>
          <w:rFonts w:cstheme="minorHAnsi"/>
        </w:rPr>
      </w:pPr>
      <w:r>
        <w:rPr>
          <w:rFonts w:cstheme="minorHAnsi"/>
        </w:rPr>
        <w:br w:type="page"/>
      </w:r>
    </w:p>
    <w:p w:rsidR="00F80D6B" w:rsidRPr="00321AFF" w:rsidRDefault="00F80D6B" w:rsidP="004917EF">
      <w:pPr>
        <w:rPr>
          <w:rFonts w:cstheme="minorHAnsi"/>
          <w:b/>
        </w:rPr>
      </w:pPr>
      <w:r w:rsidRPr="00321AFF">
        <w:rPr>
          <w:rFonts w:cstheme="minorHAnsi"/>
          <w:b/>
        </w:rPr>
        <w:lastRenderedPageBreak/>
        <w:t>SUMMARY</w:t>
      </w:r>
    </w:p>
    <w:p w:rsidR="00F80D6B" w:rsidRDefault="00FA5339" w:rsidP="004917EF">
      <w:pPr>
        <w:rPr>
          <w:rFonts w:cstheme="minorHAnsi"/>
        </w:rPr>
      </w:pPr>
      <w:r>
        <w:rPr>
          <w:rFonts w:cstheme="minorHAnsi"/>
        </w:rPr>
        <w:t>It is the view of CDA that the pr</w:t>
      </w:r>
      <w:r w:rsidR="00637D94">
        <w:rPr>
          <w:rFonts w:cstheme="minorHAnsi"/>
        </w:rPr>
        <w:t>esent education system does not</w:t>
      </w:r>
      <w:r w:rsidR="00321AFF">
        <w:rPr>
          <w:rFonts w:cstheme="minorHAnsi"/>
        </w:rPr>
        <w:t xml:space="preserve"> adequately</w:t>
      </w:r>
      <w:r w:rsidR="00F80D6B">
        <w:rPr>
          <w:rFonts w:cstheme="minorHAnsi"/>
        </w:rPr>
        <w:t xml:space="preserve"> meet the needs of students with disability. This is reflected in lower high school completion rates and workforce participation rates. </w:t>
      </w:r>
      <w:r w:rsidR="00AC191F">
        <w:rPr>
          <w:rFonts w:cstheme="minorHAnsi"/>
        </w:rPr>
        <w:t>A k</w:t>
      </w:r>
      <w:r w:rsidR="00637D94">
        <w:rPr>
          <w:rFonts w:cstheme="minorHAnsi"/>
        </w:rPr>
        <w:t>ey reason</w:t>
      </w:r>
      <w:r w:rsidR="00AC191F">
        <w:rPr>
          <w:rFonts w:cstheme="minorHAnsi"/>
        </w:rPr>
        <w:t xml:space="preserve"> for this </w:t>
      </w:r>
      <w:r w:rsidR="00637D94">
        <w:rPr>
          <w:rFonts w:cstheme="minorHAnsi"/>
        </w:rPr>
        <w:t>is</w:t>
      </w:r>
      <w:r w:rsidR="00AC191F">
        <w:rPr>
          <w:rFonts w:cstheme="minorHAnsi"/>
        </w:rPr>
        <w:t xml:space="preserve"> the deeply entrenched systemic culture of</w:t>
      </w:r>
      <w:r w:rsidR="00637D94">
        <w:rPr>
          <w:rFonts w:cstheme="minorHAnsi"/>
        </w:rPr>
        <w:t xml:space="preserve"> l</w:t>
      </w:r>
      <w:r w:rsidR="00F80D6B">
        <w:rPr>
          <w:rFonts w:cstheme="minorHAnsi"/>
        </w:rPr>
        <w:t>ow expectations</w:t>
      </w:r>
      <w:r w:rsidR="00637D94">
        <w:rPr>
          <w:rFonts w:cstheme="minorHAnsi"/>
        </w:rPr>
        <w:t xml:space="preserve"> </w:t>
      </w:r>
      <w:r w:rsidR="00AC191F">
        <w:rPr>
          <w:rFonts w:cstheme="minorHAnsi"/>
        </w:rPr>
        <w:t xml:space="preserve">regarding students with disability. Research has shown that this attitudes and barrier needs to be challenged directly to </w:t>
      </w:r>
      <w:r w:rsidR="00F3031B">
        <w:rPr>
          <w:rFonts w:cstheme="minorHAnsi"/>
        </w:rPr>
        <w:t xml:space="preserve">enable a creation of an education system that meets and </w:t>
      </w:r>
      <w:r w:rsidR="008B42F1">
        <w:rPr>
          <w:rFonts w:cstheme="minorHAnsi"/>
        </w:rPr>
        <w:t xml:space="preserve">provides quality education for </w:t>
      </w:r>
      <w:r w:rsidR="008B42F1">
        <w:rPr>
          <w:rFonts w:cstheme="minorHAnsi"/>
          <w:b/>
          <w:i/>
        </w:rPr>
        <w:t>all</w:t>
      </w:r>
      <w:r w:rsidR="00F3031B">
        <w:rPr>
          <w:rFonts w:cstheme="minorHAnsi"/>
        </w:rPr>
        <w:t xml:space="preserve"> students, including students with disability.</w:t>
      </w:r>
    </w:p>
    <w:p w:rsidR="00F80D6B" w:rsidRDefault="00F80D6B" w:rsidP="004917EF">
      <w:pPr>
        <w:rPr>
          <w:rFonts w:cstheme="minorHAnsi"/>
        </w:rPr>
      </w:pPr>
    </w:p>
    <w:p w:rsidR="00F80D6B" w:rsidRDefault="00281534" w:rsidP="004917EF">
      <w:pPr>
        <w:rPr>
          <w:rFonts w:cstheme="minorHAnsi"/>
        </w:rPr>
      </w:pPr>
      <w:r>
        <w:rPr>
          <w:rFonts w:cstheme="minorHAnsi"/>
        </w:rPr>
        <w:t xml:space="preserve">Creating </w:t>
      </w:r>
      <w:r w:rsidR="00FE39E8">
        <w:rPr>
          <w:rFonts w:cstheme="minorHAnsi"/>
        </w:rPr>
        <w:t xml:space="preserve">inclusive educational settings that respect the contributions of all students have significant benefits and </w:t>
      </w:r>
      <w:r w:rsidR="009F479C">
        <w:rPr>
          <w:rFonts w:cstheme="minorHAnsi"/>
        </w:rPr>
        <w:t>lead to positive outcomes for children who do and do not experience disability.</w:t>
      </w:r>
      <w:r w:rsidR="00F80D6B">
        <w:rPr>
          <w:rFonts w:cstheme="minorHAnsi"/>
        </w:rPr>
        <w:t xml:space="preserve"> Actively teaching inclusive practices as part of the national curriculum</w:t>
      </w:r>
      <w:r w:rsidR="00BA7329">
        <w:rPr>
          <w:rFonts w:cstheme="minorHAnsi"/>
        </w:rPr>
        <w:t xml:space="preserve"> therefore</w:t>
      </w:r>
      <w:r w:rsidR="00F80D6B">
        <w:rPr>
          <w:rFonts w:cstheme="minorHAnsi"/>
        </w:rPr>
        <w:t xml:space="preserve"> represents a</w:t>
      </w:r>
      <w:r w:rsidR="00321AFF">
        <w:rPr>
          <w:rFonts w:cstheme="minorHAnsi"/>
        </w:rPr>
        <w:t xml:space="preserve"> crucial </w:t>
      </w:r>
      <w:r w:rsidR="00F80D6B">
        <w:rPr>
          <w:rFonts w:cstheme="minorHAnsi"/>
        </w:rPr>
        <w:t>step to improving the educational and employment outco</w:t>
      </w:r>
      <w:r w:rsidR="00321AFF">
        <w:rPr>
          <w:rFonts w:cstheme="minorHAnsi"/>
        </w:rPr>
        <w:t>mes for students with disability</w:t>
      </w:r>
      <w:r w:rsidR="00F80D6B">
        <w:rPr>
          <w:rFonts w:cstheme="minorHAnsi"/>
        </w:rPr>
        <w:t>.</w:t>
      </w:r>
    </w:p>
    <w:p w:rsidR="00F80D6B" w:rsidRDefault="00F80D6B" w:rsidP="004917EF">
      <w:pPr>
        <w:rPr>
          <w:rFonts w:cstheme="minorHAnsi"/>
        </w:rPr>
      </w:pPr>
    </w:p>
    <w:p w:rsidR="00F3031B" w:rsidRDefault="009F479C" w:rsidP="004917EF">
      <w:pPr>
        <w:rPr>
          <w:rFonts w:cstheme="minorHAnsi"/>
        </w:rPr>
      </w:pPr>
      <w:r>
        <w:rPr>
          <w:rFonts w:cstheme="minorHAnsi"/>
        </w:rPr>
        <w:t>The current review of the national curriculum provides an opportunity to implement the vast body of research liter</w:t>
      </w:r>
      <w:r w:rsidR="00F80D6B">
        <w:rPr>
          <w:rFonts w:cstheme="minorHAnsi"/>
        </w:rPr>
        <w:t xml:space="preserve">ature that supports this view. </w:t>
      </w:r>
    </w:p>
    <w:p w:rsidR="00F3031B" w:rsidRDefault="00F3031B" w:rsidP="004917EF">
      <w:pPr>
        <w:rPr>
          <w:rFonts w:cstheme="minorHAnsi"/>
        </w:rPr>
      </w:pPr>
    </w:p>
    <w:p w:rsidR="00543F3A" w:rsidRDefault="00680233" w:rsidP="004917EF">
      <w:pPr>
        <w:rPr>
          <w:rFonts w:cstheme="minorHAnsi"/>
        </w:rPr>
      </w:pPr>
      <w:r>
        <w:rPr>
          <w:rFonts w:cstheme="minorHAnsi"/>
        </w:rPr>
        <w:t xml:space="preserve">Thank you for the opportunity to </w:t>
      </w:r>
      <w:r w:rsidR="00543F3A">
        <w:rPr>
          <w:rFonts w:cstheme="minorHAnsi"/>
        </w:rPr>
        <w:t>contribute to the review.</w:t>
      </w:r>
    </w:p>
    <w:p w:rsidR="00543F3A" w:rsidRDefault="00543F3A" w:rsidP="004917EF">
      <w:pPr>
        <w:rPr>
          <w:rFonts w:cstheme="minorHAnsi"/>
        </w:rPr>
      </w:pPr>
    </w:p>
    <w:p w:rsidR="00543F3A" w:rsidRDefault="00543F3A" w:rsidP="00543F3A">
      <w:r>
        <w:t xml:space="preserve">Contact: Stephanie Gotlib </w:t>
      </w:r>
    </w:p>
    <w:p w:rsidR="00543F3A" w:rsidRDefault="00543F3A" w:rsidP="00543F3A">
      <w:r>
        <w:t>Executive Officer</w:t>
      </w:r>
    </w:p>
    <w:p w:rsidR="00543F3A" w:rsidRDefault="00543F3A" w:rsidP="00543F3A">
      <w:r>
        <w:t>Children with Disability Australia</w:t>
      </w:r>
    </w:p>
    <w:p w:rsidR="00543F3A" w:rsidRDefault="00543F3A" w:rsidP="00543F3A">
      <w:r>
        <w:t>3/173 Queens Parade, CLIFTON HILL VIC 3068</w:t>
      </w:r>
    </w:p>
    <w:p w:rsidR="00543F3A" w:rsidRDefault="00543F3A" w:rsidP="00543F3A">
      <w:r>
        <w:t>Ph: 03 9482 1130 or 0425 724 230</w:t>
      </w:r>
    </w:p>
    <w:p w:rsidR="00543F3A" w:rsidRDefault="00543F3A" w:rsidP="00543F3A">
      <w:r>
        <w:t>Email: stephanieg@cda.org .au</w:t>
      </w:r>
    </w:p>
    <w:p w:rsidR="00543F3A" w:rsidRDefault="00E013EE" w:rsidP="00543F3A">
      <w:hyperlink r:id="rId10" w:history="1">
        <w:r w:rsidR="00543F3A" w:rsidRPr="00FB5747">
          <w:rPr>
            <w:rStyle w:val="Hyperlink"/>
          </w:rPr>
          <w:t>www.cda.org.au</w:t>
        </w:r>
      </w:hyperlink>
      <w:r w:rsidR="00543F3A">
        <w:t xml:space="preserve"> </w:t>
      </w:r>
    </w:p>
    <w:p w:rsidR="00543F3A" w:rsidRPr="009F479C" w:rsidRDefault="00543F3A" w:rsidP="00543F3A">
      <w:pPr>
        <w:rPr>
          <w:rFonts w:cstheme="minorHAnsi"/>
        </w:rPr>
      </w:pPr>
    </w:p>
    <w:sectPr w:rsidR="00543F3A" w:rsidRPr="009F47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2C" w:rsidRDefault="0075542C" w:rsidP="0075542C">
      <w:r>
        <w:separator/>
      </w:r>
    </w:p>
  </w:endnote>
  <w:endnote w:type="continuationSeparator" w:id="0">
    <w:p w:rsidR="0075542C" w:rsidRDefault="0075542C" w:rsidP="0075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36" w:rsidRPr="00DB0A36" w:rsidRDefault="00DB0A36">
    <w:pPr>
      <w:pStyle w:val="Footer"/>
      <w:pBdr>
        <w:top w:val="thinThickSmallGap" w:sz="24" w:space="1" w:color="622423" w:themeColor="accent2" w:themeShade="7F"/>
      </w:pBdr>
      <w:rPr>
        <w:rFonts w:asciiTheme="majorHAnsi" w:eastAsiaTheme="majorEastAsia" w:hAnsiTheme="majorHAnsi" w:cstheme="majorBidi"/>
        <w:sz w:val="16"/>
        <w:szCs w:val="16"/>
      </w:rPr>
    </w:pPr>
    <w:r w:rsidRPr="00DB0A36">
      <w:rPr>
        <w:rFonts w:asciiTheme="majorHAnsi" w:eastAsiaTheme="majorEastAsia" w:hAnsiTheme="majorHAnsi" w:cstheme="majorBidi"/>
        <w:sz w:val="16"/>
        <w:szCs w:val="16"/>
      </w:rPr>
      <w:t>Children with Disability Australia</w:t>
    </w:r>
    <w:r w:rsidRPr="00DB0A36">
      <w:rPr>
        <w:rFonts w:asciiTheme="majorHAnsi" w:eastAsiaTheme="majorEastAsia" w:hAnsiTheme="majorHAnsi" w:cstheme="majorBidi"/>
        <w:sz w:val="16"/>
        <w:szCs w:val="16"/>
      </w:rPr>
      <w:ptab w:relativeTo="margin" w:alignment="right" w:leader="none"/>
    </w:r>
    <w:r w:rsidRPr="00DB0A36">
      <w:rPr>
        <w:rFonts w:asciiTheme="majorHAnsi" w:eastAsiaTheme="majorEastAsia" w:hAnsiTheme="majorHAnsi" w:cstheme="majorBidi"/>
        <w:sz w:val="16"/>
        <w:szCs w:val="16"/>
      </w:rPr>
      <w:t xml:space="preserve">Page </w:t>
    </w:r>
    <w:r w:rsidRPr="00DB0A36">
      <w:rPr>
        <w:sz w:val="16"/>
        <w:szCs w:val="16"/>
      </w:rPr>
      <w:fldChar w:fldCharType="begin"/>
    </w:r>
    <w:r w:rsidRPr="00DB0A36">
      <w:rPr>
        <w:sz w:val="16"/>
        <w:szCs w:val="16"/>
      </w:rPr>
      <w:instrText xml:space="preserve"> PAGE   \* MERGEFORMAT </w:instrText>
    </w:r>
    <w:r w:rsidRPr="00DB0A36">
      <w:rPr>
        <w:sz w:val="16"/>
        <w:szCs w:val="16"/>
      </w:rPr>
      <w:fldChar w:fldCharType="separate"/>
    </w:r>
    <w:r w:rsidR="00E013EE" w:rsidRPr="00E013EE">
      <w:rPr>
        <w:rFonts w:asciiTheme="majorHAnsi" w:eastAsiaTheme="majorEastAsia" w:hAnsiTheme="majorHAnsi" w:cstheme="majorBidi"/>
        <w:noProof/>
        <w:sz w:val="16"/>
        <w:szCs w:val="16"/>
      </w:rPr>
      <w:t>3</w:t>
    </w:r>
    <w:r w:rsidRPr="00DB0A36">
      <w:rPr>
        <w:rFonts w:asciiTheme="majorHAnsi" w:eastAsiaTheme="majorEastAsia" w:hAnsiTheme="majorHAnsi" w:cstheme="majorBidi"/>
        <w:noProof/>
        <w:sz w:val="16"/>
        <w:szCs w:val="16"/>
      </w:rPr>
      <w:fldChar w:fldCharType="end"/>
    </w:r>
  </w:p>
  <w:p w:rsidR="00DB0A36" w:rsidRDefault="00DB0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2C" w:rsidRDefault="0075542C" w:rsidP="0075542C">
      <w:r>
        <w:separator/>
      </w:r>
    </w:p>
  </w:footnote>
  <w:footnote w:type="continuationSeparator" w:id="0">
    <w:p w:rsidR="0075542C" w:rsidRDefault="0075542C" w:rsidP="0075542C">
      <w:r>
        <w:continuationSeparator/>
      </w:r>
    </w:p>
  </w:footnote>
  <w:footnote w:id="1">
    <w:p w:rsidR="0075542C" w:rsidRPr="00FF6177" w:rsidRDefault="0075542C">
      <w:pPr>
        <w:pStyle w:val="FootnoteText"/>
        <w:rPr>
          <w:sz w:val="18"/>
          <w:szCs w:val="18"/>
          <w:lang w:val="en-AU"/>
        </w:rPr>
      </w:pPr>
      <w:r w:rsidRPr="00FF6177">
        <w:rPr>
          <w:rStyle w:val="FootnoteReference"/>
          <w:sz w:val="18"/>
          <w:szCs w:val="18"/>
        </w:rPr>
        <w:footnoteRef/>
      </w:r>
      <w:r w:rsidRPr="00FF6177">
        <w:rPr>
          <w:sz w:val="18"/>
          <w:szCs w:val="18"/>
        </w:rPr>
        <w:t xml:space="preserve"> </w:t>
      </w:r>
      <w:r w:rsidRPr="00FF6177">
        <w:rPr>
          <w:sz w:val="18"/>
          <w:szCs w:val="18"/>
          <w:lang w:val="en-AU"/>
        </w:rPr>
        <w:t xml:space="preserve">Australian Bureau of Statistics </w:t>
      </w:r>
      <w:r w:rsidR="00FC5606" w:rsidRPr="00FF6177">
        <w:rPr>
          <w:sz w:val="18"/>
          <w:szCs w:val="18"/>
          <w:lang w:val="en-AU"/>
        </w:rPr>
        <w:t>(ABS</w:t>
      </w:r>
      <w:r w:rsidR="00FF073E" w:rsidRPr="00FF6177">
        <w:rPr>
          <w:sz w:val="18"/>
          <w:szCs w:val="18"/>
          <w:lang w:val="en-AU"/>
        </w:rPr>
        <w:t>) 2009</w:t>
      </w:r>
      <w:r w:rsidRPr="00FF6177">
        <w:rPr>
          <w:sz w:val="18"/>
          <w:szCs w:val="18"/>
          <w:lang w:val="en-AU"/>
        </w:rPr>
        <w:t xml:space="preserve">,’Rates of Disability in Australia,’ </w:t>
      </w:r>
      <w:r w:rsidRPr="00FF6177">
        <w:rPr>
          <w:i/>
          <w:sz w:val="18"/>
          <w:szCs w:val="18"/>
          <w:lang w:val="en-AU"/>
        </w:rPr>
        <w:t xml:space="preserve">Profiles of Disability, </w:t>
      </w:r>
      <w:r w:rsidRPr="00FF6177">
        <w:rPr>
          <w:sz w:val="18"/>
          <w:szCs w:val="18"/>
          <w:lang w:val="en-AU"/>
        </w:rPr>
        <w:t xml:space="preserve">Commonwealth of Australia: Canberra, viewed 17 March 2014, </w:t>
      </w:r>
      <w:hyperlink r:id="rId1" w:history="1">
        <w:r w:rsidRPr="00FF6177">
          <w:rPr>
            <w:rStyle w:val="Hyperlink"/>
            <w:sz w:val="18"/>
            <w:szCs w:val="18"/>
            <w:lang w:val="en-AU"/>
          </w:rPr>
          <w:t>http://www.abs.gov.au/ausstats/abs@.nsf/Lookup/4429.0Main+Features100232009</w:t>
        </w:r>
      </w:hyperlink>
      <w:r w:rsidRPr="00FF6177">
        <w:rPr>
          <w:sz w:val="18"/>
          <w:szCs w:val="18"/>
          <w:lang w:val="en-AU"/>
        </w:rPr>
        <w:t xml:space="preserve">. </w:t>
      </w:r>
    </w:p>
  </w:footnote>
  <w:footnote w:id="2">
    <w:p w:rsidR="00FC5606" w:rsidRPr="00FF6177" w:rsidRDefault="00FC5606">
      <w:pPr>
        <w:pStyle w:val="FootnoteText"/>
        <w:rPr>
          <w:sz w:val="18"/>
          <w:szCs w:val="18"/>
          <w:lang w:val="en-AU"/>
        </w:rPr>
      </w:pPr>
      <w:r w:rsidRPr="00FF6177">
        <w:rPr>
          <w:rStyle w:val="FootnoteReference"/>
          <w:sz w:val="18"/>
          <w:szCs w:val="18"/>
        </w:rPr>
        <w:footnoteRef/>
      </w:r>
      <w:r w:rsidRPr="00FF6177">
        <w:rPr>
          <w:sz w:val="18"/>
          <w:szCs w:val="18"/>
        </w:rPr>
        <w:t xml:space="preserve"> </w:t>
      </w:r>
      <w:r w:rsidRPr="00FF6177">
        <w:rPr>
          <w:sz w:val="18"/>
          <w:szCs w:val="18"/>
          <w:lang w:val="en-AU"/>
        </w:rPr>
        <w:t xml:space="preserve">ABS 2009,’Children at School with Disability,’ </w:t>
      </w:r>
      <w:r w:rsidRPr="00FF6177">
        <w:rPr>
          <w:i/>
          <w:sz w:val="18"/>
          <w:szCs w:val="18"/>
          <w:lang w:val="en-AU"/>
        </w:rPr>
        <w:t xml:space="preserve">Profiles of Disability, </w:t>
      </w:r>
      <w:r w:rsidRPr="00FF6177">
        <w:rPr>
          <w:sz w:val="18"/>
          <w:szCs w:val="18"/>
          <w:lang w:val="en-AU"/>
        </w:rPr>
        <w:t xml:space="preserve">Commonwealth of Australia: Canberra, viewed 17 March 2014, </w:t>
      </w:r>
      <w:hyperlink r:id="rId2" w:history="1">
        <w:r w:rsidRPr="00FF6177">
          <w:rPr>
            <w:rStyle w:val="Hyperlink"/>
            <w:sz w:val="18"/>
            <w:szCs w:val="18"/>
            <w:lang w:val="en-AU"/>
          </w:rPr>
          <w:t>http://www.abs.gov.au/ausstats/abs@.nsf/Lookup/4429.0main+features100302009</w:t>
        </w:r>
      </w:hyperlink>
      <w:r w:rsidRPr="00FF6177">
        <w:rPr>
          <w:sz w:val="18"/>
          <w:szCs w:val="18"/>
          <w:lang w:val="en-AU"/>
        </w:rPr>
        <w:t xml:space="preserve">. </w:t>
      </w:r>
    </w:p>
  </w:footnote>
  <w:footnote w:id="3">
    <w:p w:rsidR="00FC5606" w:rsidRPr="00FF6177" w:rsidRDefault="00FC5606" w:rsidP="006C627A">
      <w:pPr>
        <w:rPr>
          <w:sz w:val="18"/>
          <w:szCs w:val="18"/>
        </w:rPr>
      </w:pPr>
      <w:r w:rsidRPr="00FF6177">
        <w:rPr>
          <w:rStyle w:val="FootnoteReference"/>
          <w:sz w:val="18"/>
          <w:szCs w:val="18"/>
        </w:rPr>
        <w:footnoteRef/>
      </w:r>
      <w:r w:rsidRPr="00FF6177">
        <w:rPr>
          <w:sz w:val="18"/>
          <w:szCs w:val="18"/>
        </w:rPr>
        <w:t xml:space="preserve"> </w:t>
      </w:r>
      <w:r w:rsidRPr="00FF6177">
        <w:rPr>
          <w:sz w:val="18"/>
          <w:szCs w:val="18"/>
          <w:lang w:val="en-AU"/>
        </w:rPr>
        <w:t>ABS 2009,</w:t>
      </w:r>
      <w:r w:rsidR="006C627A" w:rsidRPr="00FF6177">
        <w:rPr>
          <w:sz w:val="18"/>
          <w:szCs w:val="18"/>
          <w:lang w:val="en-AU"/>
        </w:rPr>
        <w:t xml:space="preserve"> ‘Persons Aged 15-64 years, selected characteristics – by level of highest educational attainment,’ </w:t>
      </w:r>
      <w:r w:rsidR="006C627A" w:rsidRPr="00FF6177">
        <w:rPr>
          <w:i/>
          <w:sz w:val="18"/>
          <w:szCs w:val="18"/>
          <w:lang w:val="en-AU"/>
        </w:rPr>
        <w:t xml:space="preserve">Survey of Education Training and Experience 2009: State and Territory Australian tables, </w:t>
      </w:r>
      <w:r w:rsidR="006C627A" w:rsidRPr="00FF6177">
        <w:rPr>
          <w:sz w:val="18"/>
          <w:szCs w:val="18"/>
          <w:lang w:val="en-AU"/>
        </w:rPr>
        <w:t>Commonwealth of Australia.</w:t>
      </w:r>
    </w:p>
  </w:footnote>
  <w:footnote w:id="4">
    <w:p w:rsidR="00FF6177" w:rsidRPr="00FF6177" w:rsidRDefault="00FF6177" w:rsidP="00FF6177">
      <w:pPr>
        <w:rPr>
          <w:sz w:val="18"/>
          <w:szCs w:val="18"/>
        </w:rPr>
      </w:pPr>
      <w:r w:rsidRPr="00FF6177">
        <w:rPr>
          <w:rStyle w:val="FootnoteReference"/>
          <w:sz w:val="18"/>
          <w:szCs w:val="18"/>
        </w:rPr>
        <w:footnoteRef/>
      </w:r>
      <w:r w:rsidRPr="00FF6177">
        <w:rPr>
          <w:sz w:val="18"/>
          <w:szCs w:val="18"/>
        </w:rPr>
        <w:t xml:space="preserve"> </w:t>
      </w:r>
      <w:r w:rsidRPr="00FF6177">
        <w:rPr>
          <w:sz w:val="18"/>
          <w:szCs w:val="18"/>
          <w:lang w:val="en-AU"/>
        </w:rPr>
        <w:t xml:space="preserve">ABS 2012, ‘Disability – Education and Employment,’ </w:t>
      </w:r>
      <w:r w:rsidRPr="00FF6177">
        <w:rPr>
          <w:i/>
          <w:sz w:val="18"/>
          <w:szCs w:val="18"/>
          <w:lang w:val="en-AU"/>
        </w:rPr>
        <w:t xml:space="preserve">Disability, Ageing and Carers, Australia, Summary of Findings 2012,’ </w:t>
      </w:r>
      <w:r w:rsidRPr="00FF6177">
        <w:rPr>
          <w:sz w:val="18"/>
          <w:szCs w:val="18"/>
          <w:lang w:val="en-AU"/>
        </w:rPr>
        <w:t xml:space="preserve">Commonwealth of Australia: Canberra, viewed 17 March 2014, </w:t>
      </w:r>
      <w:hyperlink r:id="rId3" w:history="1">
        <w:r w:rsidRPr="00FF6177">
          <w:rPr>
            <w:rStyle w:val="Hyperlink"/>
            <w:sz w:val="18"/>
            <w:szCs w:val="18"/>
            <w:lang w:val="en-AU"/>
          </w:rPr>
          <w:t>http://www.abs.gov.au/AUSSTATS/abs@.nsf/Latestproducts/E82EBA276AB693E5CA257C21000E5013?opendocument</w:t>
        </w:r>
      </w:hyperlink>
      <w:r w:rsidRPr="00FF6177">
        <w:rPr>
          <w:sz w:val="18"/>
          <w:szCs w:val="18"/>
          <w:lang w:val="en-AU"/>
        </w:rPr>
        <w:t>.</w:t>
      </w:r>
    </w:p>
  </w:footnote>
  <w:footnote w:id="5">
    <w:p w:rsidR="00B234F0" w:rsidRPr="00543F3A" w:rsidRDefault="00B234F0">
      <w:pPr>
        <w:pStyle w:val="FootnoteText"/>
        <w:rPr>
          <w:sz w:val="18"/>
          <w:szCs w:val="18"/>
          <w:lang w:val="en-AU"/>
        </w:rPr>
      </w:pPr>
      <w:r w:rsidRPr="006804A4">
        <w:rPr>
          <w:rStyle w:val="FootnoteReference"/>
          <w:sz w:val="18"/>
          <w:szCs w:val="18"/>
        </w:rPr>
        <w:footnoteRef/>
      </w:r>
      <w:r w:rsidRPr="006804A4">
        <w:rPr>
          <w:sz w:val="18"/>
          <w:szCs w:val="18"/>
        </w:rPr>
        <w:t xml:space="preserve"> </w:t>
      </w:r>
      <w:r w:rsidR="006804A4" w:rsidRPr="006804A4">
        <w:rPr>
          <w:sz w:val="18"/>
          <w:szCs w:val="18"/>
          <w:lang w:val="en-AU"/>
        </w:rPr>
        <w:t xml:space="preserve">ABS 2012, ‘Disability – Education and Employment,’ </w:t>
      </w:r>
      <w:r w:rsidR="006804A4" w:rsidRPr="006804A4">
        <w:rPr>
          <w:i/>
          <w:sz w:val="18"/>
          <w:szCs w:val="18"/>
          <w:lang w:val="en-AU"/>
        </w:rPr>
        <w:t xml:space="preserve">Disability, Ageing and Carers, Australia, Summary of Findings 2012,’ </w:t>
      </w:r>
      <w:r w:rsidR="006804A4" w:rsidRPr="006804A4">
        <w:rPr>
          <w:sz w:val="18"/>
          <w:szCs w:val="18"/>
          <w:lang w:val="en-AU"/>
        </w:rPr>
        <w:t xml:space="preserve">Commonwealth of Australia: Canberra, viewed 17 March 2014, </w:t>
      </w:r>
      <w:hyperlink r:id="rId4" w:history="1">
        <w:r w:rsidR="006804A4" w:rsidRPr="00543F3A">
          <w:rPr>
            <w:rStyle w:val="Hyperlink"/>
            <w:sz w:val="18"/>
            <w:szCs w:val="18"/>
            <w:lang w:val="en-AU"/>
          </w:rPr>
          <w:t>http://www.abs.gov.au/AUSSTATS/abs@.nsf/Latestproducts/E82EBA276AB693E5CA257C21000E5013?opendocument</w:t>
        </w:r>
      </w:hyperlink>
      <w:r w:rsidR="006804A4" w:rsidRPr="00543F3A">
        <w:rPr>
          <w:sz w:val="18"/>
          <w:szCs w:val="18"/>
          <w:lang w:val="en-AU"/>
        </w:rPr>
        <w:t>.</w:t>
      </w:r>
    </w:p>
  </w:footnote>
  <w:footnote w:id="6">
    <w:p w:rsidR="006804A4" w:rsidRPr="00543F3A" w:rsidRDefault="006804A4">
      <w:pPr>
        <w:pStyle w:val="FootnoteText"/>
        <w:rPr>
          <w:sz w:val="18"/>
          <w:szCs w:val="18"/>
          <w:lang w:val="en-AU"/>
        </w:rPr>
      </w:pPr>
      <w:r w:rsidRPr="00543F3A">
        <w:rPr>
          <w:rStyle w:val="FootnoteReference"/>
          <w:sz w:val="18"/>
          <w:szCs w:val="18"/>
        </w:rPr>
        <w:footnoteRef/>
      </w:r>
      <w:r w:rsidRPr="00543F3A">
        <w:rPr>
          <w:sz w:val="18"/>
          <w:szCs w:val="18"/>
        </w:rPr>
        <w:t xml:space="preserve"> Kathy Cologon 2013, </w:t>
      </w:r>
      <w:r w:rsidRPr="00543F3A">
        <w:rPr>
          <w:i/>
          <w:sz w:val="18"/>
          <w:szCs w:val="18"/>
        </w:rPr>
        <w:t xml:space="preserve">Inclusion in Education: Towards Equality for Students with Disability, </w:t>
      </w:r>
      <w:r w:rsidRPr="00543F3A">
        <w:rPr>
          <w:sz w:val="18"/>
          <w:szCs w:val="18"/>
        </w:rPr>
        <w:t xml:space="preserve">Children with Disability Australia: Melbourne, available at </w:t>
      </w:r>
      <w:hyperlink r:id="rId5" w:history="1">
        <w:r w:rsidRPr="00543F3A">
          <w:rPr>
            <w:rStyle w:val="Hyperlink"/>
            <w:sz w:val="18"/>
            <w:szCs w:val="18"/>
          </w:rPr>
          <w:t>http://www.cda.org.au/cda-issue-papers</w:t>
        </w:r>
      </w:hyperlink>
      <w:r w:rsidRPr="00543F3A">
        <w:rPr>
          <w:sz w:val="18"/>
          <w:szCs w:val="18"/>
        </w:rPr>
        <w:t xml:space="preserve">. </w:t>
      </w:r>
    </w:p>
  </w:footnote>
  <w:footnote w:id="7">
    <w:p w:rsidR="00FC5E43" w:rsidRPr="00543F3A" w:rsidRDefault="00FC5E43">
      <w:pPr>
        <w:pStyle w:val="FootnoteText"/>
        <w:rPr>
          <w:sz w:val="18"/>
          <w:szCs w:val="18"/>
          <w:lang w:val="en-AU"/>
        </w:rPr>
      </w:pPr>
      <w:r w:rsidRPr="00543F3A">
        <w:rPr>
          <w:rStyle w:val="FootnoteReference"/>
          <w:sz w:val="18"/>
          <w:szCs w:val="18"/>
        </w:rPr>
        <w:footnoteRef/>
      </w:r>
      <w:r w:rsidRPr="00543F3A">
        <w:rPr>
          <w:sz w:val="18"/>
          <w:szCs w:val="18"/>
        </w:rPr>
        <w:t xml:space="preserve"> </w:t>
      </w:r>
      <w:r w:rsidRPr="00543F3A">
        <w:rPr>
          <w:sz w:val="18"/>
          <w:szCs w:val="18"/>
          <w:lang w:val="en-AU"/>
        </w:rPr>
        <w:t>Ibid</w:t>
      </w:r>
      <w:r w:rsidR="00FF073E">
        <w:rPr>
          <w:sz w:val="18"/>
          <w:szCs w:val="18"/>
          <w:lang w:val="en-AU"/>
        </w:rPr>
        <w:t>.</w:t>
      </w:r>
      <w:r w:rsidRPr="00543F3A">
        <w:rPr>
          <w:sz w:val="18"/>
          <w:szCs w:val="18"/>
          <w:lang w:val="en-AU"/>
        </w:rPr>
        <w:t>, Section 2.</w:t>
      </w:r>
    </w:p>
  </w:footnote>
  <w:footnote w:id="8">
    <w:p w:rsidR="00FC5E43" w:rsidRPr="00FC5E43" w:rsidRDefault="00FC5E43">
      <w:pPr>
        <w:pStyle w:val="FootnoteText"/>
        <w:rPr>
          <w:lang w:val="en-AU"/>
        </w:rPr>
      </w:pPr>
      <w:r w:rsidRPr="00543F3A">
        <w:rPr>
          <w:rStyle w:val="FootnoteReference"/>
          <w:sz w:val="18"/>
          <w:szCs w:val="18"/>
        </w:rPr>
        <w:footnoteRef/>
      </w:r>
      <w:r w:rsidRPr="00543F3A">
        <w:rPr>
          <w:sz w:val="18"/>
          <w:szCs w:val="18"/>
        </w:rPr>
        <w:t xml:space="preserve"> </w:t>
      </w:r>
      <w:r w:rsidRPr="00543F3A">
        <w:rPr>
          <w:sz w:val="18"/>
          <w:szCs w:val="18"/>
          <w:lang w:val="en-AU"/>
        </w:rPr>
        <w:t>Ibid.,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B2320"/>
    <w:multiLevelType w:val="hybridMultilevel"/>
    <w:tmpl w:val="92E84ECA"/>
    <w:lvl w:ilvl="0" w:tplc="1180E1A4">
      <w:start w:val="1"/>
      <w:numFmt w:val="bullet"/>
      <w:lvlText w:val="•"/>
      <w:lvlJc w:val="left"/>
      <w:pPr>
        <w:tabs>
          <w:tab w:val="num" w:pos="720"/>
        </w:tabs>
        <w:ind w:left="720" w:hanging="360"/>
      </w:pPr>
      <w:rPr>
        <w:rFonts w:ascii="Arial" w:hAnsi="Arial" w:hint="default"/>
      </w:rPr>
    </w:lvl>
    <w:lvl w:ilvl="1" w:tplc="CA50F68A" w:tentative="1">
      <w:start w:val="1"/>
      <w:numFmt w:val="bullet"/>
      <w:lvlText w:val="•"/>
      <w:lvlJc w:val="left"/>
      <w:pPr>
        <w:tabs>
          <w:tab w:val="num" w:pos="1440"/>
        </w:tabs>
        <w:ind w:left="1440" w:hanging="360"/>
      </w:pPr>
      <w:rPr>
        <w:rFonts w:ascii="Arial" w:hAnsi="Arial" w:hint="default"/>
      </w:rPr>
    </w:lvl>
    <w:lvl w:ilvl="2" w:tplc="971CAE82" w:tentative="1">
      <w:start w:val="1"/>
      <w:numFmt w:val="bullet"/>
      <w:lvlText w:val="•"/>
      <w:lvlJc w:val="left"/>
      <w:pPr>
        <w:tabs>
          <w:tab w:val="num" w:pos="2160"/>
        </w:tabs>
        <w:ind w:left="2160" w:hanging="360"/>
      </w:pPr>
      <w:rPr>
        <w:rFonts w:ascii="Arial" w:hAnsi="Arial" w:hint="default"/>
      </w:rPr>
    </w:lvl>
    <w:lvl w:ilvl="3" w:tplc="3CB67C6A" w:tentative="1">
      <w:start w:val="1"/>
      <w:numFmt w:val="bullet"/>
      <w:lvlText w:val="•"/>
      <w:lvlJc w:val="left"/>
      <w:pPr>
        <w:tabs>
          <w:tab w:val="num" w:pos="2880"/>
        </w:tabs>
        <w:ind w:left="2880" w:hanging="360"/>
      </w:pPr>
      <w:rPr>
        <w:rFonts w:ascii="Arial" w:hAnsi="Arial" w:hint="default"/>
      </w:rPr>
    </w:lvl>
    <w:lvl w:ilvl="4" w:tplc="574EC276" w:tentative="1">
      <w:start w:val="1"/>
      <w:numFmt w:val="bullet"/>
      <w:lvlText w:val="•"/>
      <w:lvlJc w:val="left"/>
      <w:pPr>
        <w:tabs>
          <w:tab w:val="num" w:pos="3600"/>
        </w:tabs>
        <w:ind w:left="3600" w:hanging="360"/>
      </w:pPr>
      <w:rPr>
        <w:rFonts w:ascii="Arial" w:hAnsi="Arial" w:hint="default"/>
      </w:rPr>
    </w:lvl>
    <w:lvl w:ilvl="5" w:tplc="D53847AE" w:tentative="1">
      <w:start w:val="1"/>
      <w:numFmt w:val="bullet"/>
      <w:lvlText w:val="•"/>
      <w:lvlJc w:val="left"/>
      <w:pPr>
        <w:tabs>
          <w:tab w:val="num" w:pos="4320"/>
        </w:tabs>
        <w:ind w:left="4320" w:hanging="360"/>
      </w:pPr>
      <w:rPr>
        <w:rFonts w:ascii="Arial" w:hAnsi="Arial" w:hint="default"/>
      </w:rPr>
    </w:lvl>
    <w:lvl w:ilvl="6" w:tplc="2FC2A6FE" w:tentative="1">
      <w:start w:val="1"/>
      <w:numFmt w:val="bullet"/>
      <w:lvlText w:val="•"/>
      <w:lvlJc w:val="left"/>
      <w:pPr>
        <w:tabs>
          <w:tab w:val="num" w:pos="5040"/>
        </w:tabs>
        <w:ind w:left="5040" w:hanging="360"/>
      </w:pPr>
      <w:rPr>
        <w:rFonts w:ascii="Arial" w:hAnsi="Arial" w:hint="default"/>
      </w:rPr>
    </w:lvl>
    <w:lvl w:ilvl="7" w:tplc="FD74DE8A" w:tentative="1">
      <w:start w:val="1"/>
      <w:numFmt w:val="bullet"/>
      <w:lvlText w:val="•"/>
      <w:lvlJc w:val="left"/>
      <w:pPr>
        <w:tabs>
          <w:tab w:val="num" w:pos="5760"/>
        </w:tabs>
        <w:ind w:left="5760" w:hanging="360"/>
      </w:pPr>
      <w:rPr>
        <w:rFonts w:ascii="Arial" w:hAnsi="Arial" w:hint="default"/>
      </w:rPr>
    </w:lvl>
    <w:lvl w:ilvl="8" w:tplc="FD7415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6E6D8A"/>
    <w:multiLevelType w:val="hybridMultilevel"/>
    <w:tmpl w:val="12022D88"/>
    <w:lvl w:ilvl="0" w:tplc="11F4347E">
      <w:start w:val="1"/>
      <w:numFmt w:val="bullet"/>
      <w:lvlText w:val="•"/>
      <w:lvlJc w:val="left"/>
      <w:pPr>
        <w:tabs>
          <w:tab w:val="num" w:pos="720"/>
        </w:tabs>
        <w:ind w:left="720" w:hanging="360"/>
      </w:pPr>
      <w:rPr>
        <w:rFonts w:ascii="Arial" w:hAnsi="Arial" w:hint="default"/>
      </w:rPr>
    </w:lvl>
    <w:lvl w:ilvl="1" w:tplc="38E2B468" w:tentative="1">
      <w:start w:val="1"/>
      <w:numFmt w:val="bullet"/>
      <w:lvlText w:val="•"/>
      <w:lvlJc w:val="left"/>
      <w:pPr>
        <w:tabs>
          <w:tab w:val="num" w:pos="1440"/>
        </w:tabs>
        <w:ind w:left="1440" w:hanging="360"/>
      </w:pPr>
      <w:rPr>
        <w:rFonts w:ascii="Arial" w:hAnsi="Arial" w:hint="default"/>
      </w:rPr>
    </w:lvl>
    <w:lvl w:ilvl="2" w:tplc="81AC097A" w:tentative="1">
      <w:start w:val="1"/>
      <w:numFmt w:val="bullet"/>
      <w:lvlText w:val="•"/>
      <w:lvlJc w:val="left"/>
      <w:pPr>
        <w:tabs>
          <w:tab w:val="num" w:pos="2160"/>
        </w:tabs>
        <w:ind w:left="2160" w:hanging="360"/>
      </w:pPr>
      <w:rPr>
        <w:rFonts w:ascii="Arial" w:hAnsi="Arial" w:hint="default"/>
      </w:rPr>
    </w:lvl>
    <w:lvl w:ilvl="3" w:tplc="D3F4C52A" w:tentative="1">
      <w:start w:val="1"/>
      <w:numFmt w:val="bullet"/>
      <w:lvlText w:val="•"/>
      <w:lvlJc w:val="left"/>
      <w:pPr>
        <w:tabs>
          <w:tab w:val="num" w:pos="2880"/>
        </w:tabs>
        <w:ind w:left="2880" w:hanging="360"/>
      </w:pPr>
      <w:rPr>
        <w:rFonts w:ascii="Arial" w:hAnsi="Arial" w:hint="default"/>
      </w:rPr>
    </w:lvl>
    <w:lvl w:ilvl="4" w:tplc="773E2B4E" w:tentative="1">
      <w:start w:val="1"/>
      <w:numFmt w:val="bullet"/>
      <w:lvlText w:val="•"/>
      <w:lvlJc w:val="left"/>
      <w:pPr>
        <w:tabs>
          <w:tab w:val="num" w:pos="3600"/>
        </w:tabs>
        <w:ind w:left="3600" w:hanging="360"/>
      </w:pPr>
      <w:rPr>
        <w:rFonts w:ascii="Arial" w:hAnsi="Arial" w:hint="default"/>
      </w:rPr>
    </w:lvl>
    <w:lvl w:ilvl="5" w:tplc="CE288736" w:tentative="1">
      <w:start w:val="1"/>
      <w:numFmt w:val="bullet"/>
      <w:lvlText w:val="•"/>
      <w:lvlJc w:val="left"/>
      <w:pPr>
        <w:tabs>
          <w:tab w:val="num" w:pos="4320"/>
        </w:tabs>
        <w:ind w:left="4320" w:hanging="360"/>
      </w:pPr>
      <w:rPr>
        <w:rFonts w:ascii="Arial" w:hAnsi="Arial" w:hint="default"/>
      </w:rPr>
    </w:lvl>
    <w:lvl w:ilvl="6" w:tplc="885A800E" w:tentative="1">
      <w:start w:val="1"/>
      <w:numFmt w:val="bullet"/>
      <w:lvlText w:val="•"/>
      <w:lvlJc w:val="left"/>
      <w:pPr>
        <w:tabs>
          <w:tab w:val="num" w:pos="5040"/>
        </w:tabs>
        <w:ind w:left="5040" w:hanging="360"/>
      </w:pPr>
      <w:rPr>
        <w:rFonts w:ascii="Arial" w:hAnsi="Arial" w:hint="default"/>
      </w:rPr>
    </w:lvl>
    <w:lvl w:ilvl="7" w:tplc="21029E46" w:tentative="1">
      <w:start w:val="1"/>
      <w:numFmt w:val="bullet"/>
      <w:lvlText w:val="•"/>
      <w:lvlJc w:val="left"/>
      <w:pPr>
        <w:tabs>
          <w:tab w:val="num" w:pos="5760"/>
        </w:tabs>
        <w:ind w:left="5760" w:hanging="360"/>
      </w:pPr>
      <w:rPr>
        <w:rFonts w:ascii="Arial" w:hAnsi="Arial" w:hint="default"/>
      </w:rPr>
    </w:lvl>
    <w:lvl w:ilvl="8" w:tplc="8912F2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EF"/>
    <w:rsid w:val="00021DE7"/>
    <w:rsid w:val="000527CA"/>
    <w:rsid w:val="00072DEC"/>
    <w:rsid w:val="000D38E4"/>
    <w:rsid w:val="000E132E"/>
    <w:rsid w:val="000F4937"/>
    <w:rsid w:val="001A4700"/>
    <w:rsid w:val="001F20ED"/>
    <w:rsid w:val="00222A91"/>
    <w:rsid w:val="002628A1"/>
    <w:rsid w:val="00266CA4"/>
    <w:rsid w:val="00281534"/>
    <w:rsid w:val="00321AFF"/>
    <w:rsid w:val="003F04E5"/>
    <w:rsid w:val="00447C2B"/>
    <w:rsid w:val="004917EF"/>
    <w:rsid w:val="0049297C"/>
    <w:rsid w:val="005034A9"/>
    <w:rsid w:val="00543F3A"/>
    <w:rsid w:val="00584215"/>
    <w:rsid w:val="00592D23"/>
    <w:rsid w:val="005D3FC6"/>
    <w:rsid w:val="00637D94"/>
    <w:rsid w:val="00680233"/>
    <w:rsid w:val="006804A4"/>
    <w:rsid w:val="00694642"/>
    <w:rsid w:val="006C60AF"/>
    <w:rsid w:val="006C627A"/>
    <w:rsid w:val="00721B33"/>
    <w:rsid w:val="0075542C"/>
    <w:rsid w:val="0088039A"/>
    <w:rsid w:val="008B42F1"/>
    <w:rsid w:val="008C6EBF"/>
    <w:rsid w:val="009E075B"/>
    <w:rsid w:val="009F479C"/>
    <w:rsid w:val="00A04EBD"/>
    <w:rsid w:val="00A11E3F"/>
    <w:rsid w:val="00AC191F"/>
    <w:rsid w:val="00AC578E"/>
    <w:rsid w:val="00B234F0"/>
    <w:rsid w:val="00B35237"/>
    <w:rsid w:val="00B62276"/>
    <w:rsid w:val="00B84FB6"/>
    <w:rsid w:val="00B84FE8"/>
    <w:rsid w:val="00BA7329"/>
    <w:rsid w:val="00C91FE9"/>
    <w:rsid w:val="00CA557A"/>
    <w:rsid w:val="00CE6AB0"/>
    <w:rsid w:val="00D974D9"/>
    <w:rsid w:val="00DB0A36"/>
    <w:rsid w:val="00DB1D0F"/>
    <w:rsid w:val="00E013EE"/>
    <w:rsid w:val="00E10C50"/>
    <w:rsid w:val="00E27389"/>
    <w:rsid w:val="00EE35ED"/>
    <w:rsid w:val="00F22509"/>
    <w:rsid w:val="00F3031B"/>
    <w:rsid w:val="00F66F59"/>
    <w:rsid w:val="00F80D6B"/>
    <w:rsid w:val="00FA5339"/>
    <w:rsid w:val="00FB4390"/>
    <w:rsid w:val="00FC5606"/>
    <w:rsid w:val="00FC5E43"/>
    <w:rsid w:val="00FD5CAD"/>
    <w:rsid w:val="00FE39E8"/>
    <w:rsid w:val="00FF073E"/>
    <w:rsid w:val="00FF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18546-B482-48C5-9DFE-FCC6578E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E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D23"/>
    <w:rPr>
      <w:color w:val="0000FF" w:themeColor="hyperlink"/>
      <w:u w:val="single"/>
    </w:rPr>
  </w:style>
  <w:style w:type="character" w:styleId="CommentReference">
    <w:name w:val="annotation reference"/>
    <w:basedOn w:val="DefaultParagraphFont"/>
    <w:uiPriority w:val="99"/>
    <w:semiHidden/>
    <w:unhideWhenUsed/>
    <w:rsid w:val="000527CA"/>
    <w:rPr>
      <w:sz w:val="16"/>
      <w:szCs w:val="16"/>
    </w:rPr>
  </w:style>
  <w:style w:type="paragraph" w:styleId="CommentText">
    <w:name w:val="annotation text"/>
    <w:basedOn w:val="Normal"/>
    <w:link w:val="CommentTextChar"/>
    <w:uiPriority w:val="99"/>
    <w:semiHidden/>
    <w:unhideWhenUsed/>
    <w:rsid w:val="000527CA"/>
    <w:rPr>
      <w:sz w:val="20"/>
      <w:szCs w:val="20"/>
    </w:rPr>
  </w:style>
  <w:style w:type="character" w:customStyle="1" w:styleId="CommentTextChar">
    <w:name w:val="Comment Text Char"/>
    <w:basedOn w:val="DefaultParagraphFont"/>
    <w:link w:val="CommentText"/>
    <w:uiPriority w:val="99"/>
    <w:semiHidden/>
    <w:rsid w:val="000527C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527CA"/>
    <w:rPr>
      <w:b/>
      <w:bCs/>
    </w:rPr>
  </w:style>
  <w:style w:type="character" w:customStyle="1" w:styleId="CommentSubjectChar">
    <w:name w:val="Comment Subject Char"/>
    <w:basedOn w:val="CommentTextChar"/>
    <w:link w:val="CommentSubject"/>
    <w:uiPriority w:val="99"/>
    <w:semiHidden/>
    <w:rsid w:val="000527CA"/>
    <w:rPr>
      <w:rFonts w:eastAsiaTheme="minorEastAsia"/>
      <w:b/>
      <w:bCs/>
      <w:sz w:val="20"/>
      <w:szCs w:val="20"/>
      <w:lang w:val="en-US"/>
    </w:rPr>
  </w:style>
  <w:style w:type="paragraph" w:styleId="BalloonText">
    <w:name w:val="Balloon Text"/>
    <w:basedOn w:val="Normal"/>
    <w:link w:val="BalloonTextChar"/>
    <w:uiPriority w:val="99"/>
    <w:semiHidden/>
    <w:unhideWhenUsed/>
    <w:rsid w:val="000527CA"/>
    <w:rPr>
      <w:rFonts w:ascii="Tahoma" w:hAnsi="Tahoma" w:cs="Tahoma"/>
      <w:sz w:val="16"/>
      <w:szCs w:val="16"/>
    </w:rPr>
  </w:style>
  <w:style w:type="character" w:customStyle="1" w:styleId="BalloonTextChar">
    <w:name w:val="Balloon Text Char"/>
    <w:basedOn w:val="DefaultParagraphFont"/>
    <w:link w:val="BalloonText"/>
    <w:uiPriority w:val="99"/>
    <w:semiHidden/>
    <w:rsid w:val="000527CA"/>
    <w:rPr>
      <w:rFonts w:ascii="Tahoma" w:eastAsiaTheme="minorEastAsia" w:hAnsi="Tahoma" w:cs="Tahoma"/>
      <w:sz w:val="16"/>
      <w:szCs w:val="16"/>
      <w:lang w:val="en-US"/>
    </w:rPr>
  </w:style>
  <w:style w:type="paragraph" w:styleId="EndnoteText">
    <w:name w:val="endnote text"/>
    <w:basedOn w:val="Normal"/>
    <w:link w:val="EndnoteTextChar"/>
    <w:uiPriority w:val="99"/>
    <w:semiHidden/>
    <w:unhideWhenUsed/>
    <w:rsid w:val="0075542C"/>
    <w:rPr>
      <w:sz w:val="20"/>
      <w:szCs w:val="20"/>
    </w:rPr>
  </w:style>
  <w:style w:type="character" w:customStyle="1" w:styleId="EndnoteTextChar">
    <w:name w:val="Endnote Text Char"/>
    <w:basedOn w:val="DefaultParagraphFont"/>
    <w:link w:val="EndnoteText"/>
    <w:uiPriority w:val="99"/>
    <w:semiHidden/>
    <w:rsid w:val="0075542C"/>
    <w:rPr>
      <w:rFonts w:eastAsiaTheme="minorEastAsia"/>
      <w:sz w:val="20"/>
      <w:szCs w:val="20"/>
      <w:lang w:val="en-US"/>
    </w:rPr>
  </w:style>
  <w:style w:type="character" w:styleId="EndnoteReference">
    <w:name w:val="endnote reference"/>
    <w:basedOn w:val="DefaultParagraphFont"/>
    <w:uiPriority w:val="99"/>
    <w:semiHidden/>
    <w:unhideWhenUsed/>
    <w:rsid w:val="0075542C"/>
    <w:rPr>
      <w:vertAlign w:val="superscript"/>
    </w:rPr>
  </w:style>
  <w:style w:type="paragraph" w:styleId="FootnoteText">
    <w:name w:val="footnote text"/>
    <w:basedOn w:val="Normal"/>
    <w:link w:val="FootnoteTextChar"/>
    <w:uiPriority w:val="99"/>
    <w:semiHidden/>
    <w:unhideWhenUsed/>
    <w:rsid w:val="0075542C"/>
    <w:rPr>
      <w:sz w:val="20"/>
      <w:szCs w:val="20"/>
    </w:rPr>
  </w:style>
  <w:style w:type="character" w:customStyle="1" w:styleId="FootnoteTextChar">
    <w:name w:val="Footnote Text Char"/>
    <w:basedOn w:val="DefaultParagraphFont"/>
    <w:link w:val="FootnoteText"/>
    <w:uiPriority w:val="99"/>
    <w:semiHidden/>
    <w:rsid w:val="0075542C"/>
    <w:rPr>
      <w:rFonts w:eastAsiaTheme="minorEastAsia"/>
      <w:sz w:val="20"/>
      <w:szCs w:val="20"/>
      <w:lang w:val="en-US"/>
    </w:rPr>
  </w:style>
  <w:style w:type="character" w:styleId="FootnoteReference">
    <w:name w:val="footnote reference"/>
    <w:basedOn w:val="DefaultParagraphFont"/>
    <w:uiPriority w:val="99"/>
    <w:semiHidden/>
    <w:unhideWhenUsed/>
    <w:rsid w:val="0075542C"/>
    <w:rPr>
      <w:vertAlign w:val="superscript"/>
    </w:rPr>
  </w:style>
  <w:style w:type="paragraph" w:styleId="ListParagraph">
    <w:name w:val="List Paragraph"/>
    <w:basedOn w:val="Normal"/>
    <w:uiPriority w:val="34"/>
    <w:qFormat/>
    <w:rsid w:val="00721B33"/>
    <w:pPr>
      <w:ind w:left="720"/>
      <w:contextualSpacing/>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DB0A36"/>
    <w:pPr>
      <w:tabs>
        <w:tab w:val="center" w:pos="4513"/>
        <w:tab w:val="right" w:pos="9026"/>
      </w:tabs>
    </w:pPr>
  </w:style>
  <w:style w:type="character" w:customStyle="1" w:styleId="HeaderChar">
    <w:name w:val="Header Char"/>
    <w:basedOn w:val="DefaultParagraphFont"/>
    <w:link w:val="Header"/>
    <w:uiPriority w:val="99"/>
    <w:rsid w:val="00DB0A36"/>
    <w:rPr>
      <w:rFonts w:eastAsiaTheme="minorEastAsia"/>
      <w:sz w:val="24"/>
      <w:szCs w:val="24"/>
      <w:lang w:val="en-US"/>
    </w:rPr>
  </w:style>
  <w:style w:type="paragraph" w:styleId="Footer">
    <w:name w:val="footer"/>
    <w:basedOn w:val="Normal"/>
    <w:link w:val="FooterChar"/>
    <w:uiPriority w:val="99"/>
    <w:unhideWhenUsed/>
    <w:rsid w:val="00DB0A36"/>
    <w:pPr>
      <w:tabs>
        <w:tab w:val="center" w:pos="4513"/>
        <w:tab w:val="right" w:pos="9026"/>
      </w:tabs>
    </w:pPr>
  </w:style>
  <w:style w:type="character" w:customStyle="1" w:styleId="FooterChar">
    <w:name w:val="Footer Char"/>
    <w:basedOn w:val="DefaultParagraphFont"/>
    <w:link w:val="Footer"/>
    <w:uiPriority w:val="99"/>
    <w:rsid w:val="00DB0A36"/>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3452">
      <w:bodyDiv w:val="1"/>
      <w:marLeft w:val="0"/>
      <w:marRight w:val="0"/>
      <w:marTop w:val="0"/>
      <w:marBottom w:val="0"/>
      <w:divBdr>
        <w:top w:val="none" w:sz="0" w:space="0" w:color="auto"/>
        <w:left w:val="none" w:sz="0" w:space="0" w:color="auto"/>
        <w:bottom w:val="none" w:sz="0" w:space="0" w:color="auto"/>
        <w:right w:val="none" w:sz="0" w:space="0" w:color="auto"/>
      </w:divBdr>
      <w:divsChild>
        <w:div w:id="1919053752">
          <w:marLeft w:val="547"/>
          <w:marRight w:val="0"/>
          <w:marTop w:val="120"/>
          <w:marBottom w:val="120"/>
          <w:divBdr>
            <w:top w:val="none" w:sz="0" w:space="0" w:color="auto"/>
            <w:left w:val="none" w:sz="0" w:space="0" w:color="auto"/>
            <w:bottom w:val="none" w:sz="0" w:space="0" w:color="auto"/>
            <w:right w:val="none" w:sz="0" w:space="0" w:color="auto"/>
          </w:divBdr>
        </w:div>
      </w:divsChild>
    </w:div>
    <w:div w:id="667371442">
      <w:bodyDiv w:val="1"/>
      <w:marLeft w:val="0"/>
      <w:marRight w:val="0"/>
      <w:marTop w:val="0"/>
      <w:marBottom w:val="0"/>
      <w:divBdr>
        <w:top w:val="none" w:sz="0" w:space="0" w:color="auto"/>
        <w:left w:val="none" w:sz="0" w:space="0" w:color="auto"/>
        <w:bottom w:val="none" w:sz="0" w:space="0" w:color="auto"/>
        <w:right w:val="none" w:sz="0" w:space="0" w:color="auto"/>
      </w:divBdr>
      <w:divsChild>
        <w:div w:id="1217886656">
          <w:marLeft w:val="547"/>
          <w:marRight w:val="0"/>
          <w:marTop w:val="130"/>
          <w:marBottom w:val="120"/>
          <w:divBdr>
            <w:top w:val="none" w:sz="0" w:space="0" w:color="auto"/>
            <w:left w:val="none" w:sz="0" w:space="0" w:color="auto"/>
            <w:bottom w:val="none" w:sz="0" w:space="0" w:color="auto"/>
            <w:right w:val="none" w:sz="0" w:space="0" w:color="auto"/>
          </w:divBdr>
        </w:div>
        <w:div w:id="1735736459">
          <w:marLeft w:val="547"/>
          <w:marRight w:val="0"/>
          <w:marTop w:val="130"/>
          <w:marBottom w:val="120"/>
          <w:divBdr>
            <w:top w:val="none" w:sz="0" w:space="0" w:color="auto"/>
            <w:left w:val="none" w:sz="0" w:space="0" w:color="auto"/>
            <w:bottom w:val="none" w:sz="0" w:space="0" w:color="auto"/>
            <w:right w:val="none" w:sz="0" w:space="0" w:color="auto"/>
          </w:divBdr>
        </w:div>
      </w:divsChild>
    </w:div>
    <w:div w:id="1840927600">
      <w:bodyDiv w:val="1"/>
      <w:marLeft w:val="0"/>
      <w:marRight w:val="0"/>
      <w:marTop w:val="0"/>
      <w:marBottom w:val="0"/>
      <w:divBdr>
        <w:top w:val="none" w:sz="0" w:space="0" w:color="auto"/>
        <w:left w:val="none" w:sz="0" w:space="0" w:color="auto"/>
        <w:bottom w:val="none" w:sz="0" w:space="0" w:color="auto"/>
        <w:right w:val="none" w:sz="0" w:space="0" w:color="auto"/>
      </w:divBdr>
    </w:div>
    <w:div w:id="19106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a.org.au" TargetMode="External"/><Relationship Id="rId4" Type="http://schemas.openxmlformats.org/officeDocument/2006/relationships/settings" Target="settings.xml"/><Relationship Id="rId9" Type="http://schemas.openxmlformats.org/officeDocument/2006/relationships/hyperlink" Target="http://www.cda.org.au/cdasubmiss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bs.gov.au/AUSSTATS/abs@.nsf/Latestproducts/E82EBA276AB693E5CA257C21000E5013?opendocument" TargetMode="External"/><Relationship Id="rId2" Type="http://schemas.openxmlformats.org/officeDocument/2006/relationships/hyperlink" Target="http://www.abs.gov.au/ausstats/abs@.nsf/Lookup/4429.0main+features100302009" TargetMode="External"/><Relationship Id="rId1" Type="http://schemas.openxmlformats.org/officeDocument/2006/relationships/hyperlink" Target="http://www.abs.gov.au/ausstats/abs@.nsf/Lookup/4429.0Main+Features100232009" TargetMode="External"/><Relationship Id="rId5" Type="http://schemas.openxmlformats.org/officeDocument/2006/relationships/hyperlink" Target="http://www.cda.org.au/cda-issue-papers" TargetMode="External"/><Relationship Id="rId4" Type="http://schemas.openxmlformats.org/officeDocument/2006/relationships/hyperlink" Target="http://www.abs.gov.au/AUSSTATS/abs@.nsf/Latestproducts/E82EBA276AB693E5CA257C21000E5013?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A80F-963B-4355-95C9-C43A5002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Children with Disability Australia</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Braedan Hogan</dc:creator>
  <cp:lastModifiedBy>Microsoft account</cp:lastModifiedBy>
  <cp:revision>2</cp:revision>
  <cp:lastPrinted>2014-03-17T03:12:00Z</cp:lastPrinted>
  <dcterms:created xsi:type="dcterms:W3CDTF">2020-04-27T02:26:00Z</dcterms:created>
  <dcterms:modified xsi:type="dcterms:W3CDTF">2020-04-27T02:26:00Z</dcterms:modified>
</cp:coreProperties>
</file>