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0928" w14:textId="77777777" w:rsidR="00F000FF" w:rsidRPr="008B67E9" w:rsidRDefault="00F000FF" w:rsidP="008B67E9">
      <w:pPr>
        <w:spacing w:line="276" w:lineRule="auto"/>
        <w:rPr>
          <w:rFonts w:ascii="Arial" w:hAnsi="Arial" w:cs="Arial"/>
          <w:sz w:val="22"/>
          <w:szCs w:val="22"/>
        </w:rPr>
      </w:pPr>
    </w:p>
    <w:p w14:paraId="031F0929" w14:textId="77777777" w:rsidR="00F000FF" w:rsidRPr="008B67E9" w:rsidRDefault="00F000FF" w:rsidP="008B67E9">
      <w:pPr>
        <w:spacing w:line="276" w:lineRule="auto"/>
        <w:rPr>
          <w:rFonts w:ascii="Arial" w:hAnsi="Arial" w:cs="Arial"/>
          <w:sz w:val="22"/>
          <w:szCs w:val="22"/>
        </w:rPr>
      </w:pPr>
    </w:p>
    <w:p w14:paraId="031F092C" w14:textId="0264008E" w:rsidR="00F000FF" w:rsidRDefault="00F000FF" w:rsidP="008B67E9">
      <w:pPr>
        <w:spacing w:line="276" w:lineRule="auto"/>
        <w:rPr>
          <w:rFonts w:ascii="Arial" w:hAnsi="Arial" w:cs="Arial"/>
          <w:sz w:val="22"/>
          <w:szCs w:val="22"/>
        </w:rPr>
      </w:pPr>
    </w:p>
    <w:p w14:paraId="1788CC19" w14:textId="77777777" w:rsidR="00F17C65" w:rsidRPr="008B67E9" w:rsidRDefault="00F17C65" w:rsidP="008B67E9">
      <w:pPr>
        <w:spacing w:line="276" w:lineRule="auto"/>
        <w:rPr>
          <w:rFonts w:ascii="Arial" w:hAnsi="Arial" w:cs="Arial"/>
          <w:sz w:val="22"/>
          <w:szCs w:val="22"/>
        </w:rPr>
      </w:pPr>
    </w:p>
    <w:p w14:paraId="00F66758" w14:textId="2BDCAD06" w:rsidR="005A76B7" w:rsidRPr="008B67E9" w:rsidRDefault="005A76B7" w:rsidP="008B67E9">
      <w:pPr>
        <w:spacing w:line="276" w:lineRule="auto"/>
        <w:rPr>
          <w:rFonts w:ascii="Arial" w:hAnsi="Arial" w:cs="Arial"/>
          <w:color w:val="000000"/>
          <w:sz w:val="22"/>
          <w:szCs w:val="22"/>
          <w:shd w:val="clear" w:color="auto" w:fill="FFFFFF"/>
        </w:rPr>
      </w:pPr>
    </w:p>
    <w:sdt>
      <w:sdtPr>
        <w:rPr>
          <w:rFonts w:ascii="Arial" w:hAnsi="Arial" w:cs="Arial"/>
          <w:sz w:val="22"/>
          <w:szCs w:val="22"/>
        </w:rPr>
        <w:id w:val="-367688302"/>
        <w:placeholder>
          <w:docPart w:val="DefaultPlaceholder_-1854013440"/>
        </w:placeholder>
        <w:text/>
      </w:sdtPr>
      <w:sdtEndPr/>
      <w:sdtContent>
        <w:p w14:paraId="6821A3C7" w14:textId="2B226D9E" w:rsidR="000367A7" w:rsidRPr="008B67E9" w:rsidRDefault="00E67E89" w:rsidP="008B67E9">
          <w:pPr>
            <w:spacing w:line="276" w:lineRule="auto"/>
            <w:rPr>
              <w:rFonts w:ascii="Arial" w:hAnsi="Arial" w:cs="Arial"/>
              <w:sz w:val="22"/>
              <w:szCs w:val="22"/>
            </w:rPr>
          </w:pPr>
          <w:r w:rsidRPr="008B67E9">
            <w:rPr>
              <w:rFonts w:ascii="Arial" w:hAnsi="Arial" w:cs="Arial"/>
              <w:sz w:val="22"/>
              <w:szCs w:val="22"/>
            </w:rPr>
            <w:t>Committee Secretary</w:t>
          </w:r>
        </w:p>
      </w:sdtContent>
    </w:sdt>
    <w:bookmarkStart w:id="0" w:name="_Hlk141107105" w:displacedByCustomXml="next"/>
    <w:sdt>
      <w:sdtPr>
        <w:rPr>
          <w:rFonts w:ascii="Arial" w:hAnsi="Arial" w:cs="Arial"/>
          <w:b/>
          <w:bCs/>
          <w:sz w:val="22"/>
          <w:szCs w:val="22"/>
        </w:rPr>
        <w:id w:val="756876009"/>
        <w:placeholder>
          <w:docPart w:val="DefaultPlaceholder_-1854013440"/>
        </w:placeholder>
        <w:text/>
      </w:sdtPr>
      <w:sdtEndPr/>
      <w:sdtContent>
        <w:p w14:paraId="758B1F66" w14:textId="5A9D9EA0" w:rsidR="00285D9A" w:rsidRPr="008B67E9" w:rsidRDefault="00E67E89" w:rsidP="008B67E9">
          <w:pPr>
            <w:spacing w:line="276" w:lineRule="auto"/>
            <w:rPr>
              <w:rFonts w:ascii="Arial" w:hAnsi="Arial" w:cs="Arial"/>
              <w:b/>
              <w:bCs/>
              <w:sz w:val="22"/>
              <w:szCs w:val="22"/>
            </w:rPr>
          </w:pPr>
          <w:r w:rsidRPr="008B67E9">
            <w:rPr>
              <w:rFonts w:ascii="Arial" w:hAnsi="Arial" w:cs="Arial"/>
              <w:b/>
              <w:bCs/>
              <w:sz w:val="22"/>
              <w:szCs w:val="22"/>
            </w:rPr>
            <w:t>Senate Standing Committee on Community Affairs</w:t>
          </w:r>
        </w:p>
      </w:sdtContent>
    </w:sdt>
    <w:bookmarkEnd w:id="0"/>
    <w:p w14:paraId="2E792999" w14:textId="3B066D1F" w:rsidR="00A12E36" w:rsidRPr="008B67E9" w:rsidRDefault="006427F9" w:rsidP="008B67E9">
      <w:pPr>
        <w:spacing w:line="276" w:lineRule="auto"/>
        <w:rPr>
          <w:rFonts w:ascii="Arial" w:hAnsi="Arial" w:cs="Arial"/>
          <w:sz w:val="22"/>
          <w:szCs w:val="22"/>
        </w:rPr>
      </w:pPr>
      <w:sdt>
        <w:sdtPr>
          <w:rPr>
            <w:rFonts w:ascii="Arial" w:hAnsi="Arial" w:cs="Arial"/>
            <w:sz w:val="22"/>
            <w:szCs w:val="22"/>
          </w:rPr>
          <w:id w:val="2079788780"/>
          <w:placeholder>
            <w:docPart w:val="DefaultPlaceholder_-1854013440"/>
          </w:placeholder>
          <w:text/>
        </w:sdtPr>
        <w:sdtEndPr/>
        <w:sdtContent>
          <w:r w:rsidR="00E67E89" w:rsidRPr="008B67E9">
            <w:rPr>
              <w:rFonts w:ascii="Arial" w:hAnsi="Arial" w:cs="Arial"/>
              <w:sz w:val="22"/>
              <w:szCs w:val="22"/>
            </w:rPr>
            <w:t>PO Box 6100</w:t>
          </w:r>
        </w:sdtContent>
      </w:sdt>
    </w:p>
    <w:p w14:paraId="03590CAF" w14:textId="6F7A944E" w:rsidR="00A12E36" w:rsidRPr="008B67E9" w:rsidRDefault="00E67E89" w:rsidP="008B67E9">
      <w:pPr>
        <w:spacing w:line="276" w:lineRule="auto"/>
        <w:rPr>
          <w:rFonts w:ascii="Arial" w:hAnsi="Arial" w:cs="Arial"/>
          <w:sz w:val="22"/>
          <w:szCs w:val="22"/>
        </w:rPr>
      </w:pPr>
      <w:r w:rsidRPr="008B67E9">
        <w:rPr>
          <w:rFonts w:ascii="Arial" w:hAnsi="Arial" w:cs="Arial"/>
          <w:sz w:val="22"/>
          <w:szCs w:val="22"/>
        </w:rPr>
        <w:t>Parliament House</w:t>
      </w:r>
    </w:p>
    <w:p w14:paraId="64DD705E" w14:textId="6FA0ED1B" w:rsidR="00E67E89" w:rsidRPr="008B67E9" w:rsidRDefault="00E67E89" w:rsidP="008B67E9">
      <w:pPr>
        <w:spacing w:line="276" w:lineRule="auto"/>
        <w:rPr>
          <w:rFonts w:ascii="Arial" w:hAnsi="Arial" w:cs="Arial"/>
          <w:sz w:val="22"/>
          <w:szCs w:val="22"/>
        </w:rPr>
      </w:pPr>
      <w:r w:rsidRPr="008B67E9">
        <w:rPr>
          <w:rFonts w:ascii="Arial" w:hAnsi="Arial" w:cs="Arial"/>
          <w:sz w:val="22"/>
          <w:szCs w:val="22"/>
        </w:rPr>
        <w:t>Canberra ACT 2600</w:t>
      </w:r>
    </w:p>
    <w:sdt>
      <w:sdtPr>
        <w:rPr>
          <w:rFonts w:ascii="Arial" w:hAnsi="Arial" w:cs="Arial"/>
          <w:sz w:val="22"/>
          <w:szCs w:val="22"/>
        </w:rPr>
        <w:id w:val="-1310700156"/>
        <w:placeholder>
          <w:docPart w:val="DefaultPlaceholder_-1854013440"/>
        </w:placeholder>
        <w:text/>
      </w:sdtPr>
      <w:sdtEndPr/>
      <w:sdtContent>
        <w:p w14:paraId="0E1E867C" w14:textId="15406465" w:rsidR="00300B52" w:rsidRPr="008B67E9" w:rsidRDefault="007D278F" w:rsidP="008B67E9">
          <w:pPr>
            <w:spacing w:line="276" w:lineRule="auto"/>
            <w:rPr>
              <w:rFonts w:ascii="Arial" w:hAnsi="Arial" w:cs="Arial"/>
              <w:sz w:val="22"/>
              <w:szCs w:val="22"/>
            </w:rPr>
          </w:pPr>
          <w:r>
            <w:rPr>
              <w:rFonts w:ascii="Arial" w:hAnsi="Arial" w:cs="Arial"/>
              <w:sz w:val="22"/>
              <w:szCs w:val="22"/>
            </w:rPr>
            <w:t>03 August</w:t>
          </w:r>
          <w:r w:rsidR="00E67E89" w:rsidRPr="008B67E9">
            <w:rPr>
              <w:rFonts w:ascii="Arial" w:hAnsi="Arial" w:cs="Arial"/>
              <w:sz w:val="22"/>
              <w:szCs w:val="22"/>
            </w:rPr>
            <w:t xml:space="preserve"> 2023</w:t>
          </w:r>
        </w:p>
      </w:sdtContent>
    </w:sdt>
    <w:p w14:paraId="33977E67" w14:textId="77777777" w:rsidR="00300B52" w:rsidRPr="008B67E9" w:rsidRDefault="00300B52" w:rsidP="008B67E9">
      <w:pPr>
        <w:spacing w:line="276" w:lineRule="auto"/>
        <w:rPr>
          <w:rFonts w:ascii="Arial" w:hAnsi="Arial" w:cs="Arial"/>
          <w:sz w:val="22"/>
          <w:szCs w:val="22"/>
        </w:rPr>
      </w:pPr>
    </w:p>
    <w:p w14:paraId="51581BB2" w14:textId="40EC5FC7" w:rsidR="006D063E" w:rsidRPr="008B67E9" w:rsidRDefault="006D063E" w:rsidP="008B67E9">
      <w:pPr>
        <w:spacing w:after="240" w:line="276" w:lineRule="auto"/>
        <w:rPr>
          <w:rFonts w:ascii="Arial" w:hAnsi="Arial" w:cs="Arial"/>
          <w:sz w:val="22"/>
          <w:szCs w:val="22"/>
        </w:rPr>
      </w:pPr>
      <w:r w:rsidRPr="008B67E9">
        <w:rPr>
          <w:rFonts w:ascii="Arial" w:hAnsi="Arial" w:cs="Arial"/>
          <w:sz w:val="22"/>
          <w:szCs w:val="22"/>
        </w:rPr>
        <w:t xml:space="preserve">Dear </w:t>
      </w:r>
      <w:sdt>
        <w:sdtPr>
          <w:rPr>
            <w:rFonts w:ascii="Arial" w:hAnsi="Arial" w:cs="Arial"/>
            <w:sz w:val="22"/>
            <w:szCs w:val="22"/>
          </w:rPr>
          <w:id w:val="-77367515"/>
          <w:placeholder>
            <w:docPart w:val="DefaultPlaceholder_-1854013440"/>
          </w:placeholder>
          <w:text/>
        </w:sdtPr>
        <w:sdtEndPr/>
        <w:sdtContent>
          <w:r w:rsidR="00E67E89" w:rsidRPr="008B67E9">
            <w:rPr>
              <w:rFonts w:ascii="Arial" w:hAnsi="Arial" w:cs="Arial"/>
              <w:sz w:val="22"/>
              <w:szCs w:val="22"/>
            </w:rPr>
            <w:t>Committee Secretary</w:t>
          </w:r>
        </w:sdtContent>
      </w:sdt>
      <w:r w:rsidRPr="008B67E9">
        <w:rPr>
          <w:rFonts w:ascii="Arial" w:hAnsi="Arial" w:cs="Arial"/>
          <w:sz w:val="22"/>
          <w:szCs w:val="22"/>
        </w:rPr>
        <w:t xml:space="preserve">, </w:t>
      </w:r>
    </w:p>
    <w:p w14:paraId="5BF8654E" w14:textId="579CF631" w:rsidR="00285D9A" w:rsidRPr="008B67E9" w:rsidRDefault="006427F9" w:rsidP="008B67E9">
      <w:pPr>
        <w:spacing w:before="120" w:after="160" w:line="276" w:lineRule="auto"/>
        <w:rPr>
          <w:rFonts w:ascii="Arial" w:hAnsi="Arial" w:cs="Arial"/>
          <w:b/>
          <w:bCs/>
          <w:sz w:val="22"/>
          <w:szCs w:val="22"/>
        </w:rPr>
      </w:pPr>
      <w:sdt>
        <w:sdtPr>
          <w:rPr>
            <w:rFonts w:ascii="Arial" w:hAnsi="Arial" w:cs="Arial"/>
            <w:b/>
            <w:bCs/>
            <w:sz w:val="22"/>
            <w:szCs w:val="22"/>
          </w:rPr>
          <w:id w:val="-1887402621"/>
          <w:placeholder>
            <w:docPart w:val="DefaultPlaceholder_-1854013440"/>
          </w:placeholder>
          <w:text/>
        </w:sdtPr>
        <w:sdtEndPr/>
        <w:sdtContent>
          <w:r w:rsidR="00E67E89" w:rsidRPr="008B67E9">
            <w:rPr>
              <w:rFonts w:ascii="Arial" w:hAnsi="Arial" w:cs="Arial"/>
              <w:b/>
              <w:bCs/>
              <w:sz w:val="22"/>
              <w:szCs w:val="22"/>
            </w:rPr>
            <w:t>I</w:t>
          </w:r>
          <w:r w:rsidR="009C65D7" w:rsidRPr="008B67E9">
            <w:rPr>
              <w:rFonts w:ascii="Arial" w:hAnsi="Arial" w:cs="Arial"/>
              <w:b/>
              <w:bCs/>
              <w:sz w:val="22"/>
              <w:szCs w:val="22"/>
            </w:rPr>
            <w:t>nquiry</w:t>
          </w:r>
        </w:sdtContent>
      </w:sdt>
      <w:r w:rsidR="00E67E89" w:rsidRPr="008B67E9">
        <w:rPr>
          <w:rFonts w:ascii="Arial" w:hAnsi="Arial" w:cs="Arial"/>
          <w:b/>
          <w:bCs/>
          <w:sz w:val="22"/>
          <w:szCs w:val="22"/>
        </w:rPr>
        <w:t xml:space="preserve"> into the worsening rental crisis in Australia</w:t>
      </w:r>
    </w:p>
    <w:p w14:paraId="011F4676" w14:textId="17BA097D" w:rsidR="005A76B7" w:rsidRPr="008B67E9" w:rsidRDefault="005A76B7" w:rsidP="008B67E9">
      <w:pPr>
        <w:spacing w:before="120" w:after="160" w:line="276" w:lineRule="auto"/>
        <w:rPr>
          <w:rFonts w:ascii="Arial" w:hAnsi="Arial" w:cs="Arial"/>
          <w:sz w:val="22"/>
          <w:szCs w:val="22"/>
        </w:rPr>
      </w:pPr>
      <w:r w:rsidRPr="008B67E9">
        <w:rPr>
          <w:rFonts w:ascii="Arial" w:hAnsi="Arial" w:cs="Arial"/>
          <w:sz w:val="22"/>
          <w:szCs w:val="22"/>
        </w:rPr>
        <w:t xml:space="preserve">Children and Young People with Disability Australia (CYDA) is the national representative organisation for children and young people with disability aged 0 to 25 years. </w:t>
      </w:r>
      <w:bookmarkStart w:id="1" w:name="_Hlk59181181"/>
      <w:r w:rsidRPr="008B67E9">
        <w:rPr>
          <w:rFonts w:ascii="Arial" w:hAnsi="Arial" w:cs="Arial"/>
          <w:sz w:val="22"/>
          <w:szCs w:val="22"/>
        </w:rPr>
        <w:t>Our vision is that children and young people with disability are valued and living empowered lives with equality of opportunity; and our purpose is to ensure governments, communities, and families, are empowering children and young people with disability to fully exercise their rights and aspirations.</w:t>
      </w:r>
      <w:bookmarkEnd w:id="1"/>
    </w:p>
    <w:p w14:paraId="6A5D307F" w14:textId="6A3EDBB5" w:rsidR="00E22DFF" w:rsidRPr="008B67E9" w:rsidRDefault="00EE5C8A" w:rsidP="008B67E9">
      <w:pPr>
        <w:spacing w:before="120" w:after="160" w:line="276" w:lineRule="auto"/>
        <w:rPr>
          <w:rFonts w:ascii="Arial" w:hAnsi="Arial" w:cs="Arial"/>
          <w:sz w:val="22"/>
          <w:szCs w:val="22"/>
        </w:rPr>
      </w:pPr>
      <w:r w:rsidRPr="008B67E9">
        <w:rPr>
          <w:rFonts w:ascii="Arial" w:hAnsi="Arial" w:cs="Arial"/>
          <w:sz w:val="22"/>
          <w:szCs w:val="22"/>
        </w:rPr>
        <w:t xml:space="preserve">Please accept this letter as CYDA’s formal submission to </w:t>
      </w:r>
      <w:sdt>
        <w:sdtPr>
          <w:rPr>
            <w:rFonts w:ascii="Arial" w:hAnsi="Arial" w:cs="Arial"/>
            <w:sz w:val="22"/>
            <w:szCs w:val="22"/>
          </w:rPr>
          <w:id w:val="-510145568"/>
          <w:placeholder>
            <w:docPart w:val="DefaultPlaceholder_-1854013440"/>
          </w:placeholder>
          <w:text/>
        </w:sdtPr>
        <w:sdtEndPr/>
        <w:sdtContent>
          <w:r w:rsidR="00E67E89" w:rsidRPr="008B67E9">
            <w:rPr>
              <w:rFonts w:ascii="Arial" w:hAnsi="Arial" w:cs="Arial"/>
              <w:sz w:val="22"/>
              <w:szCs w:val="22"/>
            </w:rPr>
            <w:t>the Senate Standing C</w:t>
          </w:r>
          <w:r w:rsidR="009C65D7" w:rsidRPr="008B67E9">
            <w:rPr>
              <w:rFonts w:ascii="Arial" w:hAnsi="Arial" w:cs="Arial"/>
              <w:sz w:val="22"/>
              <w:szCs w:val="22"/>
            </w:rPr>
            <w:t>ommittee</w:t>
          </w:r>
          <w:r w:rsidR="00E67E89" w:rsidRPr="008B67E9">
            <w:rPr>
              <w:rFonts w:ascii="Arial" w:hAnsi="Arial" w:cs="Arial"/>
              <w:sz w:val="22"/>
              <w:szCs w:val="22"/>
            </w:rPr>
            <w:t xml:space="preserve"> on Community Affair’s </w:t>
          </w:r>
          <w:r w:rsidR="009C65D7" w:rsidRPr="008B67E9">
            <w:rPr>
              <w:rFonts w:ascii="Arial" w:hAnsi="Arial" w:cs="Arial"/>
              <w:sz w:val="22"/>
              <w:szCs w:val="22"/>
            </w:rPr>
            <w:t>inquiry</w:t>
          </w:r>
        </w:sdtContent>
      </w:sdt>
      <w:r w:rsidR="00E67E89" w:rsidRPr="008B67E9">
        <w:rPr>
          <w:rFonts w:ascii="Arial" w:hAnsi="Arial" w:cs="Arial"/>
          <w:sz w:val="22"/>
          <w:szCs w:val="22"/>
        </w:rPr>
        <w:t xml:space="preserve"> into the worsening rental crisis in Australia</w:t>
      </w:r>
      <w:r w:rsidR="00B00D3A" w:rsidRPr="00481F8A">
        <w:rPr>
          <w:rFonts w:ascii="Arial" w:hAnsi="Arial" w:cs="Arial"/>
          <w:sz w:val="22"/>
          <w:szCs w:val="22"/>
        </w:rPr>
        <w:t>.</w:t>
      </w:r>
      <w:r w:rsidR="00481F8A" w:rsidRPr="00481F8A">
        <w:rPr>
          <w:rFonts w:ascii="Arial" w:hAnsi="Arial" w:cs="Arial"/>
          <w:sz w:val="22"/>
          <w:szCs w:val="22"/>
        </w:rPr>
        <w:t xml:space="preserve"> </w:t>
      </w:r>
      <w:r w:rsidR="003B3834" w:rsidRPr="008B67E9">
        <w:rPr>
          <w:rFonts w:ascii="Arial" w:hAnsi="Arial" w:cs="Arial"/>
          <w:sz w:val="22"/>
          <w:szCs w:val="22"/>
        </w:rPr>
        <w:t xml:space="preserve">Through this letter, CYDA aims to bring your attention to the urgent and critical issue of the </w:t>
      </w:r>
      <w:r w:rsidR="00B37A43">
        <w:rPr>
          <w:rFonts w:ascii="Arial" w:hAnsi="Arial" w:cs="Arial"/>
          <w:sz w:val="22"/>
          <w:szCs w:val="22"/>
        </w:rPr>
        <w:t>current</w:t>
      </w:r>
      <w:r w:rsidR="003B3834" w:rsidRPr="008B67E9">
        <w:rPr>
          <w:rFonts w:ascii="Arial" w:hAnsi="Arial" w:cs="Arial"/>
          <w:sz w:val="22"/>
          <w:szCs w:val="22"/>
        </w:rPr>
        <w:t xml:space="preserve"> rental crisis, specifically focusing on its adverse effects on </w:t>
      </w:r>
      <w:r w:rsidR="00D1225F">
        <w:rPr>
          <w:rFonts w:ascii="Arial" w:hAnsi="Arial" w:cs="Arial"/>
          <w:sz w:val="22"/>
          <w:szCs w:val="22"/>
        </w:rPr>
        <w:t xml:space="preserve">children and </w:t>
      </w:r>
      <w:r w:rsidR="003B3834" w:rsidRPr="008B67E9">
        <w:rPr>
          <w:rFonts w:ascii="Arial" w:hAnsi="Arial" w:cs="Arial"/>
          <w:sz w:val="22"/>
          <w:szCs w:val="22"/>
        </w:rPr>
        <w:t>young people with disabilit</w:t>
      </w:r>
      <w:r w:rsidR="000506B8">
        <w:rPr>
          <w:rFonts w:ascii="Arial" w:hAnsi="Arial" w:cs="Arial"/>
          <w:sz w:val="22"/>
          <w:szCs w:val="22"/>
        </w:rPr>
        <w:t>y</w:t>
      </w:r>
      <w:r w:rsidR="003B3834" w:rsidRPr="008B67E9">
        <w:rPr>
          <w:rFonts w:ascii="Arial" w:hAnsi="Arial" w:cs="Arial"/>
          <w:sz w:val="22"/>
          <w:szCs w:val="22"/>
        </w:rPr>
        <w:t>.</w:t>
      </w:r>
    </w:p>
    <w:p w14:paraId="5AECF401" w14:textId="61ADCEDE" w:rsidR="003B3834" w:rsidRPr="008B67E9" w:rsidRDefault="003B3834" w:rsidP="008B67E9">
      <w:pPr>
        <w:spacing w:before="120" w:after="160" w:line="276" w:lineRule="auto"/>
        <w:rPr>
          <w:rFonts w:ascii="Arial" w:hAnsi="Arial" w:cs="Arial"/>
          <w:sz w:val="22"/>
          <w:szCs w:val="22"/>
        </w:rPr>
      </w:pPr>
      <w:r w:rsidRPr="008B67E9">
        <w:rPr>
          <w:rFonts w:ascii="Arial" w:hAnsi="Arial" w:cs="Arial"/>
          <w:sz w:val="22"/>
          <w:szCs w:val="22"/>
        </w:rPr>
        <w:t>The Australian rental market is currently experiencing significant challenges, with skyrocketing rent prices and a diminishing supply of affordable housing. For young people with disabilit</w:t>
      </w:r>
      <w:r w:rsidR="00481F8A">
        <w:rPr>
          <w:rFonts w:ascii="Arial" w:hAnsi="Arial" w:cs="Arial"/>
          <w:sz w:val="22"/>
          <w:szCs w:val="22"/>
        </w:rPr>
        <w:t>y</w:t>
      </w:r>
      <w:r w:rsidRPr="008B67E9">
        <w:rPr>
          <w:rFonts w:ascii="Arial" w:hAnsi="Arial" w:cs="Arial"/>
          <w:sz w:val="22"/>
          <w:szCs w:val="22"/>
        </w:rPr>
        <w:t xml:space="preserve">, this situation has become even more dire, as they face a unique set of </w:t>
      </w:r>
      <w:r w:rsidR="00301BF6">
        <w:rPr>
          <w:rFonts w:ascii="Arial" w:hAnsi="Arial" w:cs="Arial"/>
          <w:sz w:val="22"/>
          <w:szCs w:val="22"/>
        </w:rPr>
        <w:t>challeng</w:t>
      </w:r>
      <w:r w:rsidRPr="008B67E9">
        <w:rPr>
          <w:rFonts w:ascii="Arial" w:hAnsi="Arial" w:cs="Arial"/>
          <w:sz w:val="22"/>
          <w:szCs w:val="22"/>
        </w:rPr>
        <w:t>es and vulnerabilities when trying to secure stable and suitable accommodation.</w:t>
      </w:r>
    </w:p>
    <w:p w14:paraId="0A0B5DDB" w14:textId="633EC88E" w:rsidR="00F46CC8" w:rsidRDefault="003B3834" w:rsidP="008B67E9">
      <w:pPr>
        <w:spacing w:before="120" w:after="160" w:line="276" w:lineRule="auto"/>
        <w:rPr>
          <w:rFonts w:ascii="Arial" w:hAnsi="Arial" w:cs="Arial"/>
          <w:sz w:val="22"/>
          <w:szCs w:val="22"/>
        </w:rPr>
      </w:pPr>
      <w:r w:rsidRPr="008B67E9">
        <w:rPr>
          <w:rFonts w:ascii="Arial" w:hAnsi="Arial" w:cs="Arial"/>
          <w:sz w:val="22"/>
          <w:szCs w:val="22"/>
        </w:rPr>
        <w:t xml:space="preserve">The impact of the rental crisis on </w:t>
      </w:r>
      <w:r w:rsidR="00E80A2F">
        <w:rPr>
          <w:rFonts w:ascii="Arial" w:hAnsi="Arial" w:cs="Arial"/>
          <w:sz w:val="22"/>
          <w:szCs w:val="22"/>
        </w:rPr>
        <w:t xml:space="preserve">children and </w:t>
      </w:r>
      <w:r w:rsidRPr="008B67E9">
        <w:rPr>
          <w:rFonts w:ascii="Arial" w:hAnsi="Arial" w:cs="Arial"/>
          <w:sz w:val="22"/>
          <w:szCs w:val="22"/>
        </w:rPr>
        <w:t>young people with disabilit</w:t>
      </w:r>
      <w:r w:rsidR="00886A67">
        <w:rPr>
          <w:rFonts w:ascii="Arial" w:hAnsi="Arial" w:cs="Arial"/>
          <w:sz w:val="22"/>
          <w:szCs w:val="22"/>
        </w:rPr>
        <w:t>y</w:t>
      </w:r>
      <w:r w:rsidRPr="008B67E9">
        <w:rPr>
          <w:rFonts w:ascii="Arial" w:hAnsi="Arial" w:cs="Arial"/>
          <w:sz w:val="22"/>
          <w:szCs w:val="22"/>
        </w:rPr>
        <w:t xml:space="preserve"> is multi-faceted and profoundly distressing. </w:t>
      </w:r>
      <w:r w:rsidR="00BF6FB0">
        <w:rPr>
          <w:rFonts w:ascii="Arial" w:hAnsi="Arial" w:cs="Arial"/>
          <w:sz w:val="22"/>
          <w:szCs w:val="22"/>
        </w:rPr>
        <w:t xml:space="preserve">While the inquiry </w:t>
      </w:r>
      <w:r w:rsidR="00EC2301">
        <w:rPr>
          <w:rFonts w:ascii="Arial" w:hAnsi="Arial" w:cs="Arial"/>
          <w:sz w:val="22"/>
          <w:szCs w:val="22"/>
        </w:rPr>
        <w:t>T</w:t>
      </w:r>
      <w:r w:rsidR="00BF6FB0">
        <w:rPr>
          <w:rFonts w:ascii="Arial" w:hAnsi="Arial" w:cs="Arial"/>
          <w:sz w:val="22"/>
          <w:szCs w:val="22"/>
        </w:rPr>
        <w:t xml:space="preserve">erms of </w:t>
      </w:r>
      <w:r w:rsidR="00EC2301">
        <w:rPr>
          <w:rFonts w:ascii="Arial" w:hAnsi="Arial" w:cs="Arial"/>
          <w:sz w:val="22"/>
          <w:szCs w:val="22"/>
        </w:rPr>
        <w:t>R</w:t>
      </w:r>
      <w:r w:rsidR="00BF6FB0">
        <w:rPr>
          <w:rFonts w:ascii="Arial" w:hAnsi="Arial" w:cs="Arial"/>
          <w:sz w:val="22"/>
          <w:szCs w:val="22"/>
        </w:rPr>
        <w:t>eference</w:t>
      </w:r>
      <w:r w:rsidR="00EC2301">
        <w:rPr>
          <w:rFonts w:ascii="Arial" w:hAnsi="Arial" w:cs="Arial"/>
          <w:sz w:val="22"/>
          <w:szCs w:val="22"/>
        </w:rPr>
        <w:t xml:space="preserve"> (</w:t>
      </w:r>
      <w:proofErr w:type="spellStart"/>
      <w:r w:rsidR="00EC2301">
        <w:rPr>
          <w:rFonts w:ascii="Arial" w:hAnsi="Arial" w:cs="Arial"/>
          <w:sz w:val="22"/>
          <w:szCs w:val="22"/>
        </w:rPr>
        <w:t>ToR</w:t>
      </w:r>
      <w:proofErr w:type="spellEnd"/>
      <w:r w:rsidR="00EC2301">
        <w:rPr>
          <w:rFonts w:ascii="Arial" w:hAnsi="Arial" w:cs="Arial"/>
          <w:sz w:val="22"/>
          <w:szCs w:val="22"/>
        </w:rPr>
        <w:t>)</w:t>
      </w:r>
      <w:r w:rsidR="00BF6FB0">
        <w:rPr>
          <w:rFonts w:ascii="Arial" w:hAnsi="Arial" w:cs="Arial"/>
          <w:sz w:val="22"/>
          <w:szCs w:val="22"/>
        </w:rPr>
        <w:t xml:space="preserve"> do not directly address the impact of the rental crisis on </w:t>
      </w:r>
      <w:r w:rsidR="00AC1A36">
        <w:rPr>
          <w:rFonts w:ascii="Arial" w:hAnsi="Arial" w:cs="Arial"/>
          <w:sz w:val="22"/>
          <w:szCs w:val="22"/>
        </w:rPr>
        <w:t xml:space="preserve">people with disability, this letter </w:t>
      </w:r>
      <w:r w:rsidR="00B22DD2">
        <w:rPr>
          <w:rFonts w:ascii="Arial" w:hAnsi="Arial" w:cs="Arial"/>
          <w:sz w:val="22"/>
          <w:szCs w:val="22"/>
        </w:rPr>
        <w:t>responds to</w:t>
      </w:r>
      <w:r w:rsidR="00AC1A36">
        <w:rPr>
          <w:rFonts w:ascii="Arial" w:hAnsi="Arial" w:cs="Arial"/>
          <w:sz w:val="22"/>
          <w:szCs w:val="22"/>
        </w:rPr>
        <w:t xml:space="preserve"> the </w:t>
      </w:r>
      <w:r w:rsidR="00BD116E">
        <w:rPr>
          <w:rFonts w:ascii="Arial" w:hAnsi="Arial" w:cs="Arial"/>
          <w:sz w:val="22"/>
          <w:szCs w:val="22"/>
        </w:rPr>
        <w:t xml:space="preserve">following </w:t>
      </w:r>
      <w:proofErr w:type="spellStart"/>
      <w:r w:rsidR="00EC2301">
        <w:rPr>
          <w:rFonts w:ascii="Arial" w:hAnsi="Arial" w:cs="Arial"/>
          <w:sz w:val="22"/>
          <w:szCs w:val="22"/>
        </w:rPr>
        <w:t>ToR</w:t>
      </w:r>
      <w:proofErr w:type="spellEnd"/>
      <w:r w:rsidR="00BD116E">
        <w:rPr>
          <w:rFonts w:ascii="Arial" w:hAnsi="Arial" w:cs="Arial"/>
          <w:sz w:val="22"/>
          <w:szCs w:val="22"/>
        </w:rPr>
        <w:t xml:space="preserve"> </w:t>
      </w:r>
      <w:r w:rsidR="0087533A">
        <w:rPr>
          <w:rFonts w:ascii="Arial" w:hAnsi="Arial" w:cs="Arial"/>
          <w:sz w:val="22"/>
          <w:szCs w:val="22"/>
        </w:rPr>
        <w:t>focusing on young people with disability.</w:t>
      </w:r>
    </w:p>
    <w:p w14:paraId="656646E3" w14:textId="0BA779FB" w:rsidR="00F46CC8" w:rsidRPr="00805BEB" w:rsidRDefault="0093185B" w:rsidP="00805BEB">
      <w:pPr>
        <w:pStyle w:val="ListParagraph"/>
        <w:numPr>
          <w:ilvl w:val="0"/>
          <w:numId w:val="17"/>
        </w:numPr>
        <w:spacing w:before="120" w:after="160" w:line="276" w:lineRule="auto"/>
        <w:rPr>
          <w:rFonts w:ascii="Arial" w:hAnsi="Arial" w:cs="Arial"/>
          <w:sz w:val="22"/>
          <w:szCs w:val="22"/>
        </w:rPr>
      </w:pPr>
      <w:r w:rsidRPr="00805BEB">
        <w:rPr>
          <w:rFonts w:ascii="Arial" w:hAnsi="Arial" w:cs="Arial"/>
          <w:sz w:val="22"/>
          <w:szCs w:val="22"/>
        </w:rPr>
        <w:t>the experience of renters</w:t>
      </w:r>
      <w:r w:rsidR="008F18EB">
        <w:rPr>
          <w:rFonts w:ascii="Arial" w:hAnsi="Arial" w:cs="Arial"/>
          <w:sz w:val="22"/>
          <w:szCs w:val="22"/>
        </w:rPr>
        <w:t xml:space="preserve"> and people seeking rental housing – in partic</w:t>
      </w:r>
      <w:r w:rsidR="007B734A">
        <w:rPr>
          <w:rFonts w:ascii="Arial" w:hAnsi="Arial" w:cs="Arial"/>
          <w:sz w:val="22"/>
          <w:szCs w:val="22"/>
        </w:rPr>
        <w:t>ular</w:t>
      </w:r>
      <w:r w:rsidR="00D2487C">
        <w:rPr>
          <w:rFonts w:ascii="Arial" w:hAnsi="Arial" w:cs="Arial"/>
          <w:sz w:val="22"/>
          <w:szCs w:val="22"/>
        </w:rPr>
        <w:t xml:space="preserve"> young people with disability</w:t>
      </w:r>
      <w:r w:rsidRPr="00805BEB">
        <w:rPr>
          <w:rFonts w:ascii="Arial" w:hAnsi="Arial" w:cs="Arial"/>
          <w:sz w:val="22"/>
          <w:szCs w:val="22"/>
        </w:rPr>
        <w:t xml:space="preserve"> </w:t>
      </w:r>
    </w:p>
    <w:p w14:paraId="4E666073" w14:textId="44C02B74" w:rsidR="00F46CC8" w:rsidRPr="00805BEB" w:rsidRDefault="00F46CC8" w:rsidP="00805BEB">
      <w:pPr>
        <w:pStyle w:val="ListParagraph"/>
        <w:numPr>
          <w:ilvl w:val="0"/>
          <w:numId w:val="17"/>
        </w:numPr>
        <w:spacing w:before="120" w:after="160" w:line="276" w:lineRule="auto"/>
        <w:rPr>
          <w:rFonts w:ascii="Arial" w:hAnsi="Arial" w:cs="Arial"/>
          <w:sz w:val="22"/>
          <w:szCs w:val="22"/>
        </w:rPr>
      </w:pPr>
      <w:r w:rsidRPr="00805BEB">
        <w:rPr>
          <w:rFonts w:ascii="Arial" w:hAnsi="Arial" w:cs="Arial"/>
          <w:sz w:val="22"/>
          <w:szCs w:val="22"/>
        </w:rPr>
        <w:t>rising rents and rental affordability</w:t>
      </w:r>
    </w:p>
    <w:p w14:paraId="2408EC7B" w14:textId="798EC8FD" w:rsidR="00F46CC8" w:rsidRPr="00805BEB" w:rsidRDefault="00832CD6" w:rsidP="00805BEB">
      <w:pPr>
        <w:pStyle w:val="ListParagraph"/>
        <w:numPr>
          <w:ilvl w:val="0"/>
          <w:numId w:val="17"/>
        </w:numPr>
        <w:spacing w:before="120" w:after="160" w:line="276" w:lineRule="auto"/>
        <w:rPr>
          <w:rFonts w:ascii="Arial" w:hAnsi="Arial" w:cs="Arial"/>
          <w:sz w:val="22"/>
          <w:szCs w:val="22"/>
        </w:rPr>
      </w:pPr>
      <w:r w:rsidRPr="00805BEB">
        <w:rPr>
          <w:rFonts w:ascii="Arial" w:hAnsi="Arial" w:cs="Arial"/>
          <w:sz w:val="22"/>
          <w:szCs w:val="22"/>
        </w:rPr>
        <w:t xml:space="preserve">actions that can be taken by governments </w:t>
      </w:r>
      <w:r w:rsidR="00805BEB" w:rsidRPr="00805BEB">
        <w:rPr>
          <w:rFonts w:ascii="Arial" w:hAnsi="Arial" w:cs="Arial"/>
          <w:sz w:val="22"/>
          <w:szCs w:val="22"/>
        </w:rPr>
        <w:t>to reduce rents or limit rent rises</w:t>
      </w:r>
      <w:r w:rsidR="001210C8">
        <w:rPr>
          <w:rFonts w:ascii="Arial" w:hAnsi="Arial" w:cs="Arial"/>
          <w:sz w:val="22"/>
          <w:szCs w:val="22"/>
        </w:rPr>
        <w:t>.</w:t>
      </w:r>
    </w:p>
    <w:p w14:paraId="4F59C086" w14:textId="553B32C1" w:rsidR="003B3834" w:rsidRDefault="00944444" w:rsidP="008B67E9">
      <w:pPr>
        <w:spacing w:before="120" w:after="160" w:line="276" w:lineRule="auto"/>
        <w:rPr>
          <w:rFonts w:ascii="Arial" w:hAnsi="Arial" w:cs="Arial"/>
          <w:sz w:val="22"/>
          <w:szCs w:val="22"/>
        </w:rPr>
      </w:pPr>
      <w:r w:rsidRPr="4F8EAAAD">
        <w:rPr>
          <w:rFonts w:ascii="Arial" w:hAnsi="Arial" w:cs="Arial"/>
          <w:sz w:val="22"/>
          <w:szCs w:val="22"/>
        </w:rPr>
        <w:t xml:space="preserve">Due to the intersectional and </w:t>
      </w:r>
      <w:r w:rsidR="00A53AD8">
        <w:rPr>
          <w:rFonts w:ascii="Arial" w:hAnsi="Arial" w:cs="Arial"/>
          <w:sz w:val="22"/>
          <w:szCs w:val="22"/>
        </w:rPr>
        <w:t>complex</w:t>
      </w:r>
      <w:r w:rsidR="00A53AD8" w:rsidRPr="4F8EAAAD">
        <w:rPr>
          <w:rFonts w:ascii="Arial" w:hAnsi="Arial" w:cs="Arial"/>
          <w:sz w:val="22"/>
          <w:szCs w:val="22"/>
        </w:rPr>
        <w:t xml:space="preserve"> </w:t>
      </w:r>
      <w:r w:rsidRPr="4F8EAAAD">
        <w:rPr>
          <w:rFonts w:ascii="Arial" w:hAnsi="Arial" w:cs="Arial"/>
          <w:sz w:val="22"/>
          <w:szCs w:val="22"/>
        </w:rPr>
        <w:t xml:space="preserve">nature of both the causes and impacts of poverty, and </w:t>
      </w:r>
      <w:r w:rsidR="001D50EA" w:rsidRPr="4F8EAAAD">
        <w:rPr>
          <w:rFonts w:ascii="Arial" w:hAnsi="Arial" w:cs="Arial"/>
          <w:sz w:val="22"/>
          <w:szCs w:val="22"/>
        </w:rPr>
        <w:t>its</w:t>
      </w:r>
      <w:r w:rsidRPr="4F8EAAAD">
        <w:rPr>
          <w:rFonts w:ascii="Arial" w:hAnsi="Arial" w:cs="Arial"/>
          <w:sz w:val="22"/>
          <w:szCs w:val="22"/>
        </w:rPr>
        <w:t xml:space="preserve"> link to housing affordability</w:t>
      </w:r>
      <w:r w:rsidR="4997B68E" w:rsidRPr="4F8EAAAD">
        <w:rPr>
          <w:rFonts w:ascii="Arial" w:hAnsi="Arial" w:cs="Arial"/>
          <w:sz w:val="22"/>
          <w:szCs w:val="22"/>
        </w:rPr>
        <w:t>,</w:t>
      </w:r>
      <w:r w:rsidRPr="4F8EAAAD">
        <w:rPr>
          <w:rFonts w:ascii="Arial" w:hAnsi="Arial" w:cs="Arial"/>
          <w:sz w:val="22"/>
          <w:szCs w:val="22"/>
        </w:rPr>
        <w:t xml:space="preserve"> this </w:t>
      </w:r>
      <w:r w:rsidR="00857C66" w:rsidRPr="4F8EAAAD">
        <w:rPr>
          <w:rFonts w:ascii="Arial" w:hAnsi="Arial" w:cs="Arial"/>
          <w:sz w:val="22"/>
          <w:szCs w:val="22"/>
        </w:rPr>
        <w:t>letter</w:t>
      </w:r>
      <w:r w:rsidRPr="4F8EAAAD">
        <w:rPr>
          <w:rFonts w:ascii="Arial" w:hAnsi="Arial" w:cs="Arial"/>
          <w:sz w:val="22"/>
          <w:szCs w:val="22"/>
        </w:rPr>
        <w:t xml:space="preserve"> builds on CYDA’s previous work relating to </w:t>
      </w:r>
      <w:r w:rsidR="001C58ED" w:rsidRPr="4F8EAAAD">
        <w:rPr>
          <w:rFonts w:ascii="Arial" w:hAnsi="Arial" w:cs="Arial"/>
          <w:sz w:val="22"/>
          <w:szCs w:val="22"/>
        </w:rPr>
        <w:t xml:space="preserve">poverty, </w:t>
      </w:r>
      <w:r w:rsidRPr="4F8EAAAD">
        <w:rPr>
          <w:rFonts w:ascii="Arial" w:hAnsi="Arial" w:cs="Arial"/>
          <w:sz w:val="22"/>
          <w:szCs w:val="22"/>
        </w:rPr>
        <w:t xml:space="preserve">employment and financial security, and the reform of the disability support pension (see Appendix). </w:t>
      </w:r>
      <w:r w:rsidR="009C5AE6" w:rsidRPr="4F8EAAAD">
        <w:rPr>
          <w:rFonts w:ascii="Arial" w:hAnsi="Arial" w:cs="Arial"/>
          <w:sz w:val="22"/>
          <w:szCs w:val="22"/>
        </w:rPr>
        <w:t xml:space="preserve">Based on </w:t>
      </w:r>
      <w:r w:rsidR="00C005AD" w:rsidRPr="4F8EAAAD">
        <w:rPr>
          <w:rFonts w:ascii="Arial" w:hAnsi="Arial" w:cs="Arial"/>
          <w:sz w:val="22"/>
          <w:szCs w:val="22"/>
        </w:rPr>
        <w:t>this</w:t>
      </w:r>
      <w:r w:rsidR="009C5AE6" w:rsidRPr="4F8EAAAD">
        <w:rPr>
          <w:rFonts w:ascii="Arial" w:hAnsi="Arial" w:cs="Arial"/>
          <w:sz w:val="22"/>
          <w:szCs w:val="22"/>
        </w:rPr>
        <w:t xml:space="preserve"> previous work </w:t>
      </w:r>
      <w:r w:rsidR="00C005AD" w:rsidRPr="4F8EAAAD">
        <w:rPr>
          <w:rFonts w:ascii="Arial" w:hAnsi="Arial" w:cs="Arial"/>
          <w:sz w:val="22"/>
          <w:szCs w:val="22"/>
        </w:rPr>
        <w:t xml:space="preserve">and additional research, </w:t>
      </w:r>
      <w:r w:rsidR="001D50EA" w:rsidRPr="4F8EAAAD">
        <w:rPr>
          <w:rFonts w:ascii="Arial" w:hAnsi="Arial" w:cs="Arial"/>
          <w:sz w:val="22"/>
          <w:szCs w:val="22"/>
        </w:rPr>
        <w:t>below</w:t>
      </w:r>
      <w:r w:rsidR="00F46BD0" w:rsidRPr="4F8EAAAD">
        <w:rPr>
          <w:rFonts w:ascii="Arial" w:hAnsi="Arial" w:cs="Arial"/>
          <w:sz w:val="22"/>
          <w:szCs w:val="22"/>
        </w:rPr>
        <w:t xml:space="preserve"> we discuss some key barriers</w:t>
      </w:r>
      <w:r w:rsidR="003B3834" w:rsidRPr="4F8EAAAD">
        <w:rPr>
          <w:rFonts w:ascii="Arial" w:hAnsi="Arial" w:cs="Arial"/>
          <w:sz w:val="22"/>
          <w:szCs w:val="22"/>
        </w:rPr>
        <w:t xml:space="preserve"> </w:t>
      </w:r>
      <w:r w:rsidR="000E5D2F" w:rsidRPr="4F8EAAAD">
        <w:rPr>
          <w:rFonts w:ascii="Arial" w:hAnsi="Arial" w:cs="Arial"/>
          <w:sz w:val="22"/>
          <w:szCs w:val="22"/>
        </w:rPr>
        <w:t>experience</w:t>
      </w:r>
      <w:r w:rsidR="006B261C" w:rsidRPr="4F8EAAAD">
        <w:rPr>
          <w:rFonts w:ascii="Arial" w:hAnsi="Arial" w:cs="Arial"/>
          <w:sz w:val="22"/>
          <w:szCs w:val="22"/>
        </w:rPr>
        <w:t>d</w:t>
      </w:r>
      <w:r w:rsidR="000E5D2F" w:rsidRPr="4F8EAAAD">
        <w:rPr>
          <w:rFonts w:ascii="Arial" w:hAnsi="Arial" w:cs="Arial"/>
          <w:sz w:val="22"/>
          <w:szCs w:val="22"/>
        </w:rPr>
        <w:t xml:space="preserve"> </w:t>
      </w:r>
      <w:r w:rsidR="006B261C" w:rsidRPr="4F8EAAAD">
        <w:rPr>
          <w:rFonts w:ascii="Arial" w:hAnsi="Arial" w:cs="Arial"/>
          <w:sz w:val="22"/>
          <w:szCs w:val="22"/>
        </w:rPr>
        <w:t xml:space="preserve">by </w:t>
      </w:r>
      <w:r w:rsidR="001210C8">
        <w:rPr>
          <w:rFonts w:ascii="Arial" w:hAnsi="Arial" w:cs="Arial"/>
          <w:sz w:val="22"/>
          <w:szCs w:val="22"/>
        </w:rPr>
        <w:t xml:space="preserve">young </w:t>
      </w:r>
      <w:r w:rsidR="000E5D2F" w:rsidRPr="4F8EAAAD">
        <w:rPr>
          <w:rFonts w:ascii="Arial" w:hAnsi="Arial" w:cs="Arial"/>
          <w:sz w:val="22"/>
          <w:szCs w:val="22"/>
        </w:rPr>
        <w:t>renters</w:t>
      </w:r>
      <w:r w:rsidR="006B261C" w:rsidRPr="4F8EAAAD">
        <w:rPr>
          <w:rFonts w:ascii="Arial" w:hAnsi="Arial" w:cs="Arial"/>
          <w:sz w:val="22"/>
          <w:szCs w:val="22"/>
        </w:rPr>
        <w:t xml:space="preserve"> with disability</w:t>
      </w:r>
      <w:r w:rsidR="000E5D2F" w:rsidRPr="4F8EAAAD">
        <w:rPr>
          <w:rFonts w:ascii="Arial" w:hAnsi="Arial" w:cs="Arial"/>
          <w:sz w:val="22"/>
          <w:szCs w:val="22"/>
        </w:rPr>
        <w:t xml:space="preserve"> and</w:t>
      </w:r>
      <w:r w:rsidR="0047488D">
        <w:rPr>
          <w:rFonts w:ascii="Arial" w:hAnsi="Arial" w:cs="Arial"/>
          <w:sz w:val="22"/>
          <w:szCs w:val="22"/>
        </w:rPr>
        <w:t xml:space="preserve"> those seeking to enter the rental market</w:t>
      </w:r>
      <w:r w:rsidR="006B261C" w:rsidRPr="4F8EAAAD">
        <w:rPr>
          <w:rFonts w:ascii="Arial" w:hAnsi="Arial" w:cs="Arial"/>
          <w:sz w:val="22"/>
          <w:szCs w:val="22"/>
        </w:rPr>
        <w:t xml:space="preserve">. </w:t>
      </w:r>
    </w:p>
    <w:p w14:paraId="381E57C2" w14:textId="77777777" w:rsidR="005C2DF8" w:rsidRPr="008B67E9" w:rsidRDefault="005C2DF8" w:rsidP="008B67E9">
      <w:pPr>
        <w:spacing w:before="120" w:after="160" w:line="276" w:lineRule="auto"/>
        <w:rPr>
          <w:rFonts w:ascii="Arial" w:hAnsi="Arial" w:cs="Arial"/>
          <w:sz w:val="22"/>
          <w:szCs w:val="22"/>
        </w:rPr>
      </w:pPr>
    </w:p>
    <w:p w14:paraId="554D3C88" w14:textId="032B7E11" w:rsidR="0073055E" w:rsidRPr="008B67E9" w:rsidRDefault="00284949" w:rsidP="008B67E9">
      <w:pPr>
        <w:pStyle w:val="ListParagraph"/>
        <w:numPr>
          <w:ilvl w:val="0"/>
          <w:numId w:val="14"/>
        </w:numPr>
        <w:spacing w:before="120" w:after="160" w:line="276" w:lineRule="auto"/>
        <w:rPr>
          <w:rFonts w:ascii="Arial" w:hAnsi="Arial" w:cs="Arial"/>
          <w:sz w:val="22"/>
          <w:szCs w:val="22"/>
        </w:rPr>
      </w:pPr>
      <w:r>
        <w:rPr>
          <w:rFonts w:ascii="Arial" w:hAnsi="Arial" w:cs="Arial"/>
          <w:b/>
          <w:bCs/>
          <w:sz w:val="22"/>
          <w:szCs w:val="22"/>
        </w:rPr>
        <w:lastRenderedPageBreak/>
        <w:t>R</w:t>
      </w:r>
      <w:r w:rsidRPr="00284949">
        <w:rPr>
          <w:rFonts w:ascii="Arial" w:hAnsi="Arial" w:cs="Arial"/>
          <w:b/>
          <w:bCs/>
          <w:sz w:val="22"/>
          <w:szCs w:val="22"/>
        </w:rPr>
        <w:t>ising rents and rental affordability</w:t>
      </w:r>
      <w:r w:rsidR="003B3834" w:rsidRPr="008B67E9">
        <w:rPr>
          <w:rFonts w:ascii="Arial" w:hAnsi="Arial" w:cs="Arial"/>
          <w:sz w:val="22"/>
          <w:szCs w:val="22"/>
        </w:rPr>
        <w:t xml:space="preserve">: </w:t>
      </w:r>
    </w:p>
    <w:p w14:paraId="3BD8CC4B" w14:textId="513CB1D0" w:rsidR="003C1E51" w:rsidRDefault="00D30AFF" w:rsidP="00D63F15">
      <w:pPr>
        <w:spacing w:before="120" w:after="160" w:line="276" w:lineRule="auto"/>
        <w:rPr>
          <w:rFonts w:ascii="Arial" w:hAnsi="Arial" w:cs="Arial"/>
          <w:sz w:val="22"/>
          <w:szCs w:val="22"/>
        </w:rPr>
      </w:pPr>
      <w:r w:rsidRPr="00D30AFF">
        <w:rPr>
          <w:rFonts w:ascii="Arial" w:hAnsi="Arial" w:cs="Arial"/>
          <w:sz w:val="22"/>
          <w:szCs w:val="22"/>
        </w:rPr>
        <w:t>Research shows that people with disability are more likely to experience poverty, are less likely to be in work, and more likely to be socially isolate</w:t>
      </w:r>
      <w:r w:rsidR="00D63F15">
        <w:rPr>
          <w:rFonts w:ascii="Arial" w:hAnsi="Arial" w:cs="Arial"/>
          <w:sz w:val="22"/>
          <w:szCs w:val="22"/>
        </w:rPr>
        <w:t>d.</w:t>
      </w:r>
      <w:r w:rsidR="003C1E51">
        <w:rPr>
          <w:rStyle w:val="FootnoteReference"/>
          <w:rFonts w:ascii="Arial" w:hAnsi="Arial" w:cs="Arial"/>
          <w:sz w:val="22"/>
          <w:szCs w:val="22"/>
        </w:rPr>
        <w:footnoteReference w:id="2"/>
      </w:r>
      <w:r w:rsidR="003C1E51">
        <w:rPr>
          <w:rFonts w:ascii="Arial" w:hAnsi="Arial" w:cs="Arial"/>
          <w:sz w:val="22"/>
          <w:szCs w:val="22"/>
        </w:rPr>
        <w:t xml:space="preserve"> </w:t>
      </w:r>
      <w:r w:rsidR="003C1E51" w:rsidRPr="008B67E9">
        <w:rPr>
          <w:rFonts w:ascii="Arial" w:hAnsi="Arial" w:cs="Arial"/>
          <w:sz w:val="22"/>
          <w:szCs w:val="22"/>
        </w:rPr>
        <w:t xml:space="preserve">Poverty and housing are inextricably linked because housing is the largest fixed cost for most </w:t>
      </w:r>
      <w:proofErr w:type="gramStart"/>
      <w:r w:rsidR="003C1E51" w:rsidRPr="008B67E9">
        <w:rPr>
          <w:rFonts w:ascii="Arial" w:hAnsi="Arial" w:cs="Arial"/>
          <w:sz w:val="22"/>
          <w:szCs w:val="22"/>
        </w:rPr>
        <w:t>low income</w:t>
      </w:r>
      <w:proofErr w:type="gramEnd"/>
      <w:r w:rsidR="003C1E51" w:rsidRPr="008B67E9">
        <w:rPr>
          <w:rFonts w:ascii="Arial" w:hAnsi="Arial" w:cs="Arial"/>
          <w:sz w:val="22"/>
          <w:szCs w:val="22"/>
        </w:rPr>
        <w:t xml:space="preserve"> households.</w:t>
      </w:r>
      <w:r w:rsidR="003C1E51">
        <w:rPr>
          <w:rStyle w:val="FootnoteReference"/>
          <w:rFonts w:ascii="Arial" w:hAnsi="Arial" w:cs="Arial"/>
          <w:sz w:val="22"/>
          <w:szCs w:val="22"/>
        </w:rPr>
        <w:footnoteReference w:id="3"/>
      </w:r>
      <w:r w:rsidR="003C1E51">
        <w:rPr>
          <w:rFonts w:ascii="Arial" w:hAnsi="Arial" w:cs="Arial"/>
          <w:sz w:val="22"/>
          <w:szCs w:val="22"/>
        </w:rPr>
        <w:t xml:space="preserve"> Many</w:t>
      </w:r>
      <w:r w:rsidR="003C1E51" w:rsidRPr="008B67E9">
        <w:rPr>
          <w:rFonts w:ascii="Arial" w:hAnsi="Arial" w:cs="Arial"/>
          <w:sz w:val="22"/>
          <w:szCs w:val="22"/>
        </w:rPr>
        <w:t xml:space="preserve"> </w:t>
      </w:r>
      <w:r w:rsidR="003C1E51">
        <w:rPr>
          <w:rFonts w:ascii="Arial" w:hAnsi="Arial" w:cs="Arial"/>
          <w:sz w:val="22"/>
          <w:szCs w:val="22"/>
        </w:rPr>
        <w:t>young people with disability</w:t>
      </w:r>
      <w:r w:rsidR="003C1E51" w:rsidRPr="008B67E9">
        <w:rPr>
          <w:rFonts w:ascii="Arial" w:hAnsi="Arial" w:cs="Arial"/>
          <w:sz w:val="22"/>
          <w:szCs w:val="22"/>
        </w:rPr>
        <w:t xml:space="preserve"> remain disproportionately represented among those experiencing poverty within Australia. This makes it exceedingly difficult for them to afford the ever-increasing rental costs.</w:t>
      </w:r>
      <w:r w:rsidR="003C1E51">
        <w:rPr>
          <w:rFonts w:ascii="Arial" w:hAnsi="Arial" w:cs="Arial"/>
          <w:sz w:val="22"/>
          <w:szCs w:val="22"/>
        </w:rPr>
        <w:t xml:space="preserve"> </w:t>
      </w:r>
    </w:p>
    <w:p w14:paraId="6564A8DF" w14:textId="11074758" w:rsidR="003C1E51" w:rsidRDefault="003C1E51" w:rsidP="00A20AD8">
      <w:pPr>
        <w:spacing w:before="120" w:line="276" w:lineRule="auto"/>
        <w:rPr>
          <w:rFonts w:ascii="Arial" w:hAnsi="Arial" w:cs="Arial"/>
          <w:sz w:val="22"/>
          <w:szCs w:val="22"/>
        </w:rPr>
        <w:sectPr w:rsidR="003C1E51" w:rsidSect="00F000FF">
          <w:footerReference w:type="default" r:id="rId11"/>
          <w:headerReference w:type="first" r:id="rId12"/>
          <w:footerReference w:type="first" r:id="rId13"/>
          <w:endnotePr>
            <w:numFmt w:val="decimal"/>
          </w:endnotePr>
          <w:pgSz w:w="11900" w:h="16840"/>
          <w:pgMar w:top="1440" w:right="1440" w:bottom="1440" w:left="1440" w:header="708" w:footer="708" w:gutter="0"/>
          <w:cols w:space="708"/>
          <w:titlePg/>
          <w:docGrid w:linePitch="360"/>
        </w:sectPr>
      </w:pPr>
    </w:p>
    <w:p w14:paraId="7EA7E061" w14:textId="11033D6B" w:rsidR="003C1E51" w:rsidRPr="008B67E9" w:rsidRDefault="003C1E51" w:rsidP="008B67E9">
      <w:pPr>
        <w:spacing w:before="120" w:after="160" w:line="276" w:lineRule="auto"/>
        <w:rPr>
          <w:rFonts w:ascii="Arial" w:hAnsi="Arial" w:cs="Arial"/>
          <w:sz w:val="22"/>
          <w:szCs w:val="22"/>
        </w:rPr>
      </w:pPr>
      <w:r w:rsidRPr="008B67E9">
        <w:rPr>
          <w:rFonts w:ascii="Arial" w:hAnsi="Arial" w:cs="Arial"/>
          <w:sz w:val="22"/>
          <w:szCs w:val="22"/>
        </w:rPr>
        <w:t xml:space="preserve">Research </w:t>
      </w:r>
      <w:r>
        <w:rPr>
          <w:rFonts w:ascii="Arial" w:hAnsi="Arial" w:cs="Arial"/>
          <w:sz w:val="22"/>
          <w:szCs w:val="22"/>
        </w:rPr>
        <w:t xml:space="preserve">also </w:t>
      </w:r>
      <w:r w:rsidRPr="008B67E9">
        <w:rPr>
          <w:rFonts w:ascii="Arial" w:hAnsi="Arial" w:cs="Arial"/>
          <w:sz w:val="22"/>
          <w:szCs w:val="22"/>
        </w:rPr>
        <w:t>shows that income support payments and other associated policies and programs can effectively address poverty.</w:t>
      </w:r>
      <w:r w:rsidRPr="008B67E9">
        <w:rPr>
          <w:rStyle w:val="FootnoteReference"/>
          <w:rFonts w:ascii="Arial" w:hAnsi="Arial" w:cs="Arial"/>
          <w:sz w:val="22"/>
          <w:szCs w:val="22"/>
        </w:rPr>
        <w:footnoteReference w:id="4"/>
      </w:r>
      <w:r w:rsidRPr="008B67E9">
        <w:rPr>
          <w:rFonts w:ascii="Arial" w:hAnsi="Arial" w:cs="Arial"/>
          <w:sz w:val="22"/>
          <w:szCs w:val="22"/>
        </w:rPr>
        <w:t xml:space="preserve"> This is particularly relevant to young people with disability as nearly half of </w:t>
      </w:r>
      <w:r>
        <w:rPr>
          <w:rFonts w:ascii="Arial" w:hAnsi="Arial" w:cs="Arial"/>
          <w:sz w:val="22"/>
          <w:szCs w:val="22"/>
        </w:rPr>
        <w:t>this cohort</w:t>
      </w:r>
      <w:r w:rsidRPr="008B67E9">
        <w:rPr>
          <w:rFonts w:ascii="Arial" w:hAnsi="Arial" w:cs="Arial"/>
          <w:sz w:val="22"/>
          <w:szCs w:val="22"/>
        </w:rPr>
        <w:t xml:space="preserve"> are reliant on income support as their main source of income. Current income payments are inadequate for a dignified standard of living – with young people receiving varying rates of payment on an inequitable basis.</w:t>
      </w:r>
      <w:r w:rsidRPr="008B67E9">
        <w:rPr>
          <w:rStyle w:val="FootnoteReference"/>
          <w:rFonts w:ascii="Arial" w:hAnsi="Arial" w:cs="Arial"/>
          <w:sz w:val="22"/>
          <w:szCs w:val="22"/>
        </w:rPr>
        <w:footnoteReference w:id="5"/>
      </w:r>
    </w:p>
    <w:p w14:paraId="70FD875A" w14:textId="34FCBA40" w:rsidR="003C1E51" w:rsidRPr="008B67E9" w:rsidRDefault="003C1E51" w:rsidP="008B67E9">
      <w:pPr>
        <w:spacing w:before="120" w:after="160" w:line="276" w:lineRule="auto"/>
        <w:rPr>
          <w:rFonts w:ascii="Arial" w:hAnsi="Arial" w:cs="Arial"/>
          <w:sz w:val="22"/>
          <w:szCs w:val="22"/>
        </w:rPr>
      </w:pPr>
      <w:r w:rsidRPr="4F8EAAAD">
        <w:rPr>
          <w:rFonts w:ascii="Arial" w:hAnsi="Arial" w:cs="Arial"/>
          <w:sz w:val="22"/>
          <w:szCs w:val="22"/>
        </w:rPr>
        <w:t xml:space="preserve">Payments such as the Disability Support Pension (DSP), Youth Allowance, or </w:t>
      </w:r>
      <w:proofErr w:type="spellStart"/>
      <w:r w:rsidRPr="4F8EAAAD">
        <w:rPr>
          <w:rFonts w:ascii="Arial" w:hAnsi="Arial" w:cs="Arial"/>
          <w:sz w:val="22"/>
          <w:szCs w:val="22"/>
        </w:rPr>
        <w:t>JobSeeker</w:t>
      </w:r>
      <w:proofErr w:type="spellEnd"/>
      <w:r w:rsidRPr="4F8EAAAD">
        <w:rPr>
          <w:rFonts w:ascii="Arial" w:hAnsi="Arial" w:cs="Arial"/>
          <w:sz w:val="22"/>
          <w:szCs w:val="22"/>
        </w:rPr>
        <w:t xml:space="preserve"> are intended to ensure young people with disability can meet their basic needs when unable to work or when studying/looking for work. However, the yearly increase in welfare payments does not adequately account for the increases in the cost of living including housing experienced by all Australians. (This is made worse when acknowledging that the cost of living is higher for those with disability).</w:t>
      </w:r>
    </w:p>
    <w:p w14:paraId="5745A202" w14:textId="4D65799B" w:rsidR="003C1E51" w:rsidRPr="008B67E9" w:rsidRDefault="003C1E51" w:rsidP="008B67E9">
      <w:pPr>
        <w:spacing w:before="120" w:after="160" w:line="276" w:lineRule="auto"/>
        <w:rPr>
          <w:rFonts w:ascii="Arial" w:hAnsi="Arial" w:cs="Arial"/>
          <w:sz w:val="22"/>
          <w:szCs w:val="22"/>
        </w:rPr>
      </w:pPr>
      <w:r w:rsidRPr="008B67E9">
        <w:rPr>
          <w:rFonts w:ascii="Arial" w:hAnsi="Arial" w:cs="Arial"/>
          <w:sz w:val="22"/>
          <w:szCs w:val="22"/>
        </w:rPr>
        <w:t xml:space="preserve">According to a </w:t>
      </w:r>
      <w:r>
        <w:rPr>
          <w:rFonts w:ascii="Arial" w:hAnsi="Arial" w:cs="Arial"/>
          <w:sz w:val="22"/>
          <w:szCs w:val="22"/>
        </w:rPr>
        <w:t xml:space="preserve">2019 </w:t>
      </w:r>
      <w:r w:rsidRPr="008B67E9">
        <w:rPr>
          <w:rFonts w:ascii="Arial" w:hAnsi="Arial" w:cs="Arial"/>
          <w:sz w:val="22"/>
          <w:szCs w:val="22"/>
        </w:rPr>
        <w:t>survey by the University of Melbourne, 11.2% of Australians with disability were living in unaffordable housing compared to 7.6% of people without disability.</w:t>
      </w:r>
      <w:r w:rsidRPr="008B67E9">
        <w:rPr>
          <w:rStyle w:val="FootnoteReference"/>
          <w:rFonts w:ascii="Arial" w:hAnsi="Arial" w:cs="Arial"/>
          <w:sz w:val="22"/>
          <w:szCs w:val="22"/>
        </w:rPr>
        <w:footnoteReference w:id="6"/>
      </w:r>
      <w:r w:rsidRPr="008B67E9">
        <w:rPr>
          <w:rFonts w:ascii="Arial" w:hAnsi="Arial" w:cs="Arial"/>
          <w:sz w:val="22"/>
          <w:szCs w:val="22"/>
        </w:rPr>
        <w:t xml:space="preserve"> Anglicare Australia’s 2023 Rental Affordability Snapshot shows that only 66 (0.1%) rentals in the whole of Australia </w:t>
      </w:r>
      <w:r>
        <w:rPr>
          <w:rFonts w:ascii="Arial" w:hAnsi="Arial" w:cs="Arial"/>
          <w:sz w:val="22"/>
          <w:szCs w:val="22"/>
        </w:rPr>
        <w:t>are</w:t>
      </w:r>
      <w:r w:rsidRPr="008B67E9">
        <w:rPr>
          <w:rFonts w:ascii="Arial" w:hAnsi="Arial" w:cs="Arial"/>
          <w:sz w:val="22"/>
          <w:szCs w:val="22"/>
        </w:rPr>
        <w:t xml:space="preserve"> affordable for people on the </w:t>
      </w:r>
      <w:r>
        <w:rPr>
          <w:rFonts w:ascii="Arial" w:hAnsi="Arial" w:cs="Arial"/>
          <w:sz w:val="22"/>
          <w:szCs w:val="22"/>
        </w:rPr>
        <w:t>DSP</w:t>
      </w:r>
      <w:r w:rsidRPr="008B67E9">
        <w:rPr>
          <w:rFonts w:ascii="Arial" w:hAnsi="Arial" w:cs="Arial"/>
          <w:sz w:val="22"/>
          <w:szCs w:val="22"/>
        </w:rPr>
        <w:t>.</w:t>
      </w:r>
      <w:r w:rsidRPr="008B67E9">
        <w:rPr>
          <w:rStyle w:val="FootnoteReference"/>
          <w:rFonts w:ascii="Arial" w:hAnsi="Arial" w:cs="Arial"/>
          <w:sz w:val="22"/>
          <w:szCs w:val="22"/>
        </w:rPr>
        <w:footnoteReference w:id="7"/>
      </w:r>
      <w:r w:rsidRPr="008B67E9">
        <w:rPr>
          <w:rFonts w:ascii="Arial" w:hAnsi="Arial" w:cs="Arial"/>
          <w:sz w:val="22"/>
          <w:szCs w:val="22"/>
        </w:rPr>
        <w:t xml:space="preserve"> Which means that 99.9</w:t>
      </w:r>
      <w:r>
        <w:rPr>
          <w:rFonts w:ascii="Arial" w:hAnsi="Arial" w:cs="Arial"/>
          <w:sz w:val="22"/>
          <w:szCs w:val="22"/>
        </w:rPr>
        <w:t>%</w:t>
      </w:r>
      <w:r w:rsidRPr="008B67E9">
        <w:rPr>
          <w:rFonts w:ascii="Arial" w:hAnsi="Arial" w:cs="Arial"/>
          <w:sz w:val="22"/>
          <w:szCs w:val="22"/>
        </w:rPr>
        <w:t xml:space="preserve"> of rental homes are out of reach </w:t>
      </w:r>
      <w:r>
        <w:rPr>
          <w:rFonts w:ascii="Arial" w:hAnsi="Arial" w:cs="Arial"/>
          <w:sz w:val="22"/>
          <w:szCs w:val="22"/>
        </w:rPr>
        <w:t xml:space="preserve">for </w:t>
      </w:r>
      <w:r w:rsidRPr="008B67E9">
        <w:rPr>
          <w:rFonts w:ascii="Arial" w:hAnsi="Arial" w:cs="Arial"/>
          <w:sz w:val="22"/>
          <w:szCs w:val="22"/>
        </w:rPr>
        <w:t xml:space="preserve">this cohort. </w:t>
      </w:r>
    </w:p>
    <w:p w14:paraId="25651639" w14:textId="186B0939" w:rsidR="003C1E51" w:rsidRPr="008B67E9" w:rsidRDefault="003C1E51" w:rsidP="008B67E9">
      <w:pPr>
        <w:spacing w:before="120" w:after="160" w:line="276" w:lineRule="auto"/>
        <w:rPr>
          <w:rFonts w:ascii="Arial" w:hAnsi="Arial" w:cs="Arial"/>
          <w:sz w:val="22"/>
          <w:szCs w:val="22"/>
        </w:rPr>
      </w:pPr>
      <w:r w:rsidRPr="008B67E9">
        <w:rPr>
          <w:rFonts w:ascii="Arial" w:hAnsi="Arial" w:cs="Arial"/>
          <w:sz w:val="22"/>
          <w:szCs w:val="22"/>
        </w:rPr>
        <w:t xml:space="preserve">For a single person on </w:t>
      </w:r>
      <w:proofErr w:type="spellStart"/>
      <w:r w:rsidRPr="008B67E9">
        <w:rPr>
          <w:rFonts w:ascii="Arial" w:hAnsi="Arial" w:cs="Arial"/>
          <w:sz w:val="22"/>
          <w:szCs w:val="22"/>
        </w:rPr>
        <w:t>JobSeeker</w:t>
      </w:r>
      <w:proofErr w:type="spellEnd"/>
      <w:r w:rsidRPr="008B67E9">
        <w:rPr>
          <w:rFonts w:ascii="Arial" w:hAnsi="Arial" w:cs="Arial"/>
          <w:sz w:val="22"/>
          <w:szCs w:val="22"/>
        </w:rPr>
        <w:t xml:space="preserve"> or Youth Allowance, payments that </w:t>
      </w:r>
      <w:r>
        <w:rPr>
          <w:rFonts w:ascii="Arial" w:hAnsi="Arial" w:cs="Arial"/>
          <w:sz w:val="22"/>
          <w:szCs w:val="22"/>
        </w:rPr>
        <w:t xml:space="preserve">most </w:t>
      </w:r>
      <w:r w:rsidRPr="008B67E9">
        <w:rPr>
          <w:rFonts w:ascii="Arial" w:hAnsi="Arial" w:cs="Arial"/>
          <w:sz w:val="22"/>
          <w:szCs w:val="22"/>
        </w:rPr>
        <w:t xml:space="preserve">young people with disability who are unable to get the DSP find themselves on, the situation is even worse. The number of affordable </w:t>
      </w:r>
      <w:r>
        <w:rPr>
          <w:rFonts w:ascii="Arial" w:hAnsi="Arial" w:cs="Arial"/>
          <w:sz w:val="22"/>
          <w:szCs w:val="22"/>
        </w:rPr>
        <w:t xml:space="preserve">rentals </w:t>
      </w:r>
      <w:r w:rsidRPr="008B67E9">
        <w:rPr>
          <w:rFonts w:ascii="Arial" w:hAnsi="Arial" w:cs="Arial"/>
          <w:sz w:val="22"/>
          <w:szCs w:val="22"/>
        </w:rPr>
        <w:t>for a single person</w:t>
      </w:r>
      <w:r>
        <w:rPr>
          <w:rFonts w:ascii="Arial" w:hAnsi="Arial" w:cs="Arial"/>
          <w:sz w:val="22"/>
          <w:szCs w:val="22"/>
        </w:rPr>
        <w:t xml:space="preserve"> </w:t>
      </w:r>
      <w:r w:rsidRPr="008B67E9">
        <w:rPr>
          <w:rFonts w:ascii="Arial" w:hAnsi="Arial" w:cs="Arial"/>
          <w:sz w:val="22"/>
          <w:szCs w:val="22"/>
        </w:rPr>
        <w:t>on Jobseeker is 0% (4</w:t>
      </w:r>
      <w:r>
        <w:rPr>
          <w:rFonts w:ascii="Arial" w:hAnsi="Arial" w:cs="Arial"/>
          <w:sz w:val="22"/>
          <w:szCs w:val="22"/>
        </w:rPr>
        <w:t xml:space="preserve"> rentals</w:t>
      </w:r>
      <w:r w:rsidRPr="008B67E9">
        <w:rPr>
          <w:rFonts w:ascii="Arial" w:hAnsi="Arial" w:cs="Arial"/>
          <w:sz w:val="22"/>
          <w:szCs w:val="22"/>
        </w:rPr>
        <w:t xml:space="preserve">) </w:t>
      </w:r>
      <w:r>
        <w:rPr>
          <w:rFonts w:ascii="Arial" w:hAnsi="Arial" w:cs="Arial"/>
          <w:sz w:val="22"/>
          <w:szCs w:val="22"/>
        </w:rPr>
        <w:t xml:space="preserve">whilst rental affordability is nil </w:t>
      </w:r>
      <w:r w:rsidRPr="008B67E9">
        <w:rPr>
          <w:rFonts w:ascii="Arial" w:hAnsi="Arial" w:cs="Arial"/>
          <w:sz w:val="22"/>
          <w:szCs w:val="22"/>
        </w:rPr>
        <w:t>for a single person aged over 18 on Youth Allowance.</w:t>
      </w:r>
      <w:r>
        <w:rPr>
          <w:rStyle w:val="FootnoteReference"/>
          <w:rFonts w:ascii="Arial" w:hAnsi="Arial" w:cs="Arial"/>
          <w:sz w:val="22"/>
          <w:szCs w:val="22"/>
        </w:rPr>
        <w:footnoteReference w:id="8"/>
      </w:r>
      <w:r w:rsidRPr="008B67E9">
        <w:rPr>
          <w:rFonts w:ascii="Arial" w:hAnsi="Arial" w:cs="Arial"/>
          <w:sz w:val="22"/>
          <w:szCs w:val="22"/>
        </w:rPr>
        <w:t xml:space="preserve"> </w:t>
      </w:r>
    </w:p>
    <w:p w14:paraId="29DDD670" w14:textId="18B86542" w:rsidR="003C1E51" w:rsidRPr="008B67E9" w:rsidRDefault="003C1E51" w:rsidP="008B67E9">
      <w:pPr>
        <w:spacing w:before="120" w:after="160" w:line="276" w:lineRule="auto"/>
        <w:rPr>
          <w:rFonts w:ascii="Arial" w:hAnsi="Arial" w:cs="Arial"/>
          <w:sz w:val="22"/>
          <w:szCs w:val="22"/>
        </w:rPr>
      </w:pPr>
      <w:r w:rsidRPr="008B67E9">
        <w:rPr>
          <w:rFonts w:ascii="Arial" w:hAnsi="Arial" w:cs="Arial"/>
          <w:sz w:val="22"/>
          <w:szCs w:val="22"/>
        </w:rPr>
        <w:t>The current situation means that many young people with disability have no choice but pay more than they can to afford a place to live. This situation leaves them with no option but to</w:t>
      </w:r>
      <w:r w:rsidRPr="007A1E6B">
        <w:rPr>
          <w:rFonts w:ascii="Arial" w:hAnsi="Arial" w:cs="Arial"/>
          <w:sz w:val="22"/>
          <w:szCs w:val="22"/>
        </w:rPr>
        <w:t xml:space="preserve"> allocate a significant portion of their income to housing, leaving minimal funds for other essential needs like healthcare, education, and transportation</w:t>
      </w:r>
      <w:r w:rsidRPr="008B67E9">
        <w:rPr>
          <w:rFonts w:ascii="Arial" w:hAnsi="Arial" w:cs="Arial"/>
          <w:sz w:val="22"/>
          <w:szCs w:val="22"/>
        </w:rPr>
        <w:t xml:space="preserve">. The increasing number of </w:t>
      </w:r>
      <w:r w:rsidRPr="008B67E9">
        <w:rPr>
          <w:rFonts w:ascii="Arial" w:hAnsi="Arial" w:cs="Arial"/>
          <w:sz w:val="22"/>
          <w:szCs w:val="22"/>
        </w:rPr>
        <w:lastRenderedPageBreak/>
        <w:t>young Australians</w:t>
      </w:r>
      <w:r w:rsidR="00B7714C">
        <w:rPr>
          <w:rFonts w:ascii="Arial" w:hAnsi="Arial" w:cs="Arial"/>
          <w:sz w:val="22"/>
          <w:szCs w:val="22"/>
        </w:rPr>
        <w:t xml:space="preserve"> experiencing homelessness</w:t>
      </w:r>
      <w:r w:rsidRPr="008B67E9">
        <w:rPr>
          <w:rFonts w:ascii="Arial" w:hAnsi="Arial" w:cs="Arial"/>
          <w:sz w:val="22"/>
          <w:szCs w:val="22"/>
        </w:rPr>
        <w:t xml:space="preserve"> serves as evidence of the unjust and unsustainable nature of such sacrifices.</w:t>
      </w:r>
      <w:r w:rsidRPr="008B67E9">
        <w:rPr>
          <w:rStyle w:val="FootnoteReference"/>
          <w:rFonts w:ascii="Arial" w:hAnsi="Arial" w:cs="Arial"/>
          <w:sz w:val="22"/>
          <w:szCs w:val="22"/>
        </w:rPr>
        <w:footnoteReference w:id="9"/>
      </w:r>
    </w:p>
    <w:p w14:paraId="53BB5512" w14:textId="606970DA" w:rsidR="003C1E51" w:rsidRPr="008B67E9" w:rsidRDefault="003C1E51" w:rsidP="008B67E9">
      <w:pPr>
        <w:pStyle w:val="ListParagraph"/>
        <w:numPr>
          <w:ilvl w:val="0"/>
          <w:numId w:val="14"/>
        </w:numPr>
        <w:spacing w:before="120" w:after="160" w:line="276" w:lineRule="auto"/>
        <w:rPr>
          <w:rFonts w:ascii="Arial" w:hAnsi="Arial" w:cs="Arial"/>
          <w:b/>
          <w:bCs/>
          <w:sz w:val="22"/>
          <w:szCs w:val="22"/>
        </w:rPr>
      </w:pPr>
      <w:r w:rsidRPr="008B67E9">
        <w:rPr>
          <w:rFonts w:ascii="Arial" w:hAnsi="Arial" w:cs="Arial"/>
          <w:b/>
          <w:bCs/>
          <w:sz w:val="22"/>
          <w:szCs w:val="22"/>
        </w:rPr>
        <w:t xml:space="preserve">Limited </w:t>
      </w:r>
      <w:r>
        <w:rPr>
          <w:rFonts w:ascii="Arial" w:hAnsi="Arial" w:cs="Arial"/>
          <w:b/>
          <w:bCs/>
          <w:sz w:val="22"/>
          <w:szCs w:val="22"/>
        </w:rPr>
        <w:t>a</w:t>
      </w:r>
      <w:r w:rsidRPr="008B67E9">
        <w:rPr>
          <w:rFonts w:ascii="Arial" w:hAnsi="Arial" w:cs="Arial"/>
          <w:b/>
          <w:bCs/>
          <w:sz w:val="22"/>
          <w:szCs w:val="22"/>
        </w:rPr>
        <w:t>ccessib</w:t>
      </w:r>
      <w:r>
        <w:rPr>
          <w:rFonts w:ascii="Arial" w:hAnsi="Arial" w:cs="Arial"/>
          <w:b/>
          <w:bCs/>
          <w:sz w:val="22"/>
          <w:szCs w:val="22"/>
        </w:rPr>
        <w:t>le housing</w:t>
      </w:r>
      <w:r w:rsidRPr="008B67E9">
        <w:rPr>
          <w:rFonts w:ascii="Arial" w:hAnsi="Arial" w:cs="Arial"/>
          <w:b/>
          <w:bCs/>
          <w:sz w:val="22"/>
          <w:szCs w:val="22"/>
        </w:rPr>
        <w:t xml:space="preserve">: </w:t>
      </w:r>
    </w:p>
    <w:p w14:paraId="321246F9" w14:textId="0E50FB0A" w:rsidR="003C1E51" w:rsidRPr="008B67E9" w:rsidRDefault="003C1E51" w:rsidP="008B67E9">
      <w:pPr>
        <w:spacing w:before="120" w:after="160" w:line="276" w:lineRule="auto"/>
        <w:rPr>
          <w:rFonts w:ascii="Arial" w:hAnsi="Arial" w:cs="Arial"/>
          <w:sz w:val="22"/>
          <w:szCs w:val="22"/>
        </w:rPr>
      </w:pPr>
      <w:r w:rsidRPr="008B67E9">
        <w:rPr>
          <w:rFonts w:ascii="Arial" w:hAnsi="Arial" w:cs="Arial"/>
          <w:sz w:val="22"/>
          <w:szCs w:val="22"/>
        </w:rPr>
        <w:t>Accessible and disability-friendly housing options are scarce in the rental market. In general, people with disability frequently encounter barriers related to mobility, accessibility modifications, and proximity to necessary services and amenities. This scarcity exacerbates their struggle to find safe and suitable living arrangements.</w:t>
      </w:r>
    </w:p>
    <w:p w14:paraId="7F287A73" w14:textId="4A9528C2" w:rsidR="003C1E51" w:rsidRPr="008B67E9" w:rsidRDefault="003C1E51" w:rsidP="008B67E9">
      <w:pPr>
        <w:spacing w:before="120" w:after="160" w:line="276" w:lineRule="auto"/>
        <w:rPr>
          <w:rFonts w:ascii="Arial" w:hAnsi="Arial" w:cs="Arial"/>
          <w:sz w:val="22"/>
          <w:szCs w:val="22"/>
        </w:rPr>
      </w:pPr>
      <w:r w:rsidRPr="008B67E9">
        <w:rPr>
          <w:rFonts w:ascii="Arial" w:hAnsi="Arial" w:cs="Arial"/>
          <w:sz w:val="22"/>
          <w:szCs w:val="22"/>
        </w:rPr>
        <w:t>Although Australia has a population of 4.4 million individuals with disabilit</w:t>
      </w:r>
      <w:r>
        <w:rPr>
          <w:rFonts w:ascii="Arial" w:hAnsi="Arial" w:cs="Arial"/>
          <w:sz w:val="22"/>
          <w:szCs w:val="22"/>
        </w:rPr>
        <w:t>y</w:t>
      </w:r>
      <w:r w:rsidRPr="008B67E9">
        <w:rPr>
          <w:rFonts w:ascii="Arial" w:hAnsi="Arial" w:cs="Arial"/>
          <w:sz w:val="22"/>
          <w:szCs w:val="22"/>
        </w:rPr>
        <w:t>, the accessibility of suitable housing remains a significant issue for many of them. Currently, most housing in Australia does not meet the needs of people with disability with problems including poor access and unsuitable internal layouts, particularly inadequately designed bathrooms.</w:t>
      </w:r>
      <w:r w:rsidRPr="008B67E9">
        <w:rPr>
          <w:rStyle w:val="FootnoteReference"/>
          <w:rFonts w:ascii="Arial" w:hAnsi="Arial" w:cs="Arial"/>
          <w:sz w:val="22"/>
          <w:szCs w:val="22"/>
        </w:rPr>
        <w:footnoteReference w:id="10"/>
      </w:r>
      <w:r w:rsidRPr="008B67E9">
        <w:rPr>
          <w:rFonts w:ascii="Arial" w:hAnsi="Arial" w:cs="Arial"/>
          <w:sz w:val="22"/>
          <w:szCs w:val="22"/>
        </w:rPr>
        <w:t xml:space="preserve"> Dwellings may also be poorly located to support community participation.  </w:t>
      </w:r>
    </w:p>
    <w:p w14:paraId="489EB622" w14:textId="0B41D936" w:rsidR="003C1E51" w:rsidRPr="008B67E9" w:rsidRDefault="003C1E51" w:rsidP="008B67E9">
      <w:pPr>
        <w:spacing w:before="120" w:after="160" w:line="276" w:lineRule="auto"/>
        <w:rPr>
          <w:rFonts w:ascii="Arial" w:hAnsi="Arial" w:cs="Arial"/>
          <w:sz w:val="22"/>
          <w:szCs w:val="22"/>
        </w:rPr>
      </w:pPr>
      <w:r>
        <w:rPr>
          <w:rFonts w:ascii="Arial" w:hAnsi="Arial" w:cs="Arial"/>
          <w:sz w:val="22"/>
          <w:szCs w:val="22"/>
        </w:rPr>
        <w:t>T</w:t>
      </w:r>
      <w:r w:rsidRPr="008B67E9">
        <w:rPr>
          <w:rFonts w:ascii="Arial" w:hAnsi="Arial" w:cs="Arial"/>
          <w:sz w:val="22"/>
          <w:szCs w:val="22"/>
        </w:rPr>
        <w:t>he introduction of new mandatory accessible housing standards in the National Construction Code (NCC) is a positive development that could alleviate the difficulties faced by people with disabilit</w:t>
      </w:r>
      <w:r>
        <w:rPr>
          <w:rFonts w:ascii="Arial" w:hAnsi="Arial" w:cs="Arial"/>
          <w:sz w:val="22"/>
          <w:szCs w:val="22"/>
        </w:rPr>
        <w:t>y</w:t>
      </w:r>
      <w:r w:rsidRPr="008B67E9">
        <w:rPr>
          <w:rFonts w:ascii="Arial" w:hAnsi="Arial" w:cs="Arial"/>
          <w:sz w:val="22"/>
          <w:szCs w:val="22"/>
        </w:rPr>
        <w:t xml:space="preserve"> when searching for accessible homes.</w:t>
      </w:r>
      <w:r w:rsidRPr="008B67E9">
        <w:rPr>
          <w:rStyle w:val="FootnoteReference"/>
          <w:rFonts w:ascii="Arial" w:hAnsi="Arial" w:cs="Arial"/>
          <w:sz w:val="22"/>
          <w:szCs w:val="22"/>
        </w:rPr>
        <w:footnoteReference w:id="11"/>
      </w:r>
      <w:r w:rsidRPr="008B67E9">
        <w:rPr>
          <w:rFonts w:ascii="Arial" w:hAnsi="Arial" w:cs="Arial"/>
          <w:sz w:val="22"/>
          <w:szCs w:val="22"/>
        </w:rPr>
        <w:t xml:space="preserve"> However, the fact that these standards are not universally mandated across all states, and some states have indicated they will not be adopting the "liveable housing design," means that </w:t>
      </w:r>
      <w:r>
        <w:rPr>
          <w:rFonts w:ascii="Arial" w:hAnsi="Arial" w:cs="Arial"/>
          <w:sz w:val="22"/>
          <w:szCs w:val="22"/>
        </w:rPr>
        <w:t>people</w:t>
      </w:r>
      <w:r w:rsidRPr="008B67E9">
        <w:rPr>
          <w:rFonts w:ascii="Arial" w:hAnsi="Arial" w:cs="Arial"/>
          <w:sz w:val="22"/>
          <w:szCs w:val="22"/>
        </w:rPr>
        <w:t xml:space="preserve"> with disability </w:t>
      </w:r>
      <w:r w:rsidR="000F3B1A">
        <w:rPr>
          <w:rFonts w:ascii="Arial" w:hAnsi="Arial" w:cs="Arial"/>
          <w:sz w:val="22"/>
          <w:szCs w:val="22"/>
        </w:rPr>
        <w:t>will</w:t>
      </w:r>
      <w:r w:rsidR="000F3B1A" w:rsidRPr="008B67E9">
        <w:rPr>
          <w:rFonts w:ascii="Arial" w:hAnsi="Arial" w:cs="Arial"/>
          <w:sz w:val="22"/>
          <w:szCs w:val="22"/>
        </w:rPr>
        <w:t xml:space="preserve"> </w:t>
      </w:r>
      <w:r>
        <w:rPr>
          <w:rFonts w:ascii="Arial" w:hAnsi="Arial" w:cs="Arial"/>
          <w:sz w:val="22"/>
          <w:szCs w:val="22"/>
        </w:rPr>
        <w:t>continue to</w:t>
      </w:r>
      <w:r w:rsidRPr="008B67E9">
        <w:rPr>
          <w:rFonts w:ascii="Arial" w:hAnsi="Arial" w:cs="Arial"/>
          <w:sz w:val="22"/>
          <w:szCs w:val="22"/>
        </w:rPr>
        <w:t xml:space="preserve"> face challenges in finding accessible housing options.</w:t>
      </w:r>
      <w:r w:rsidRPr="008B67E9">
        <w:rPr>
          <w:rStyle w:val="FootnoteReference"/>
          <w:rFonts w:ascii="Arial" w:hAnsi="Arial" w:cs="Arial"/>
          <w:sz w:val="22"/>
          <w:szCs w:val="22"/>
        </w:rPr>
        <w:footnoteReference w:id="12"/>
      </w:r>
    </w:p>
    <w:p w14:paraId="693DB21C" w14:textId="77777777" w:rsidR="003C1E51" w:rsidRPr="008B67E9" w:rsidRDefault="003C1E51" w:rsidP="00482E9D">
      <w:pPr>
        <w:pStyle w:val="ListParagraph"/>
        <w:numPr>
          <w:ilvl w:val="0"/>
          <w:numId w:val="14"/>
        </w:numPr>
        <w:spacing w:before="120" w:after="160" w:line="276" w:lineRule="auto"/>
        <w:rPr>
          <w:rFonts w:ascii="Arial" w:hAnsi="Arial" w:cs="Arial"/>
          <w:sz w:val="22"/>
          <w:szCs w:val="22"/>
        </w:rPr>
      </w:pPr>
      <w:r w:rsidRPr="008B67E9">
        <w:rPr>
          <w:rFonts w:ascii="Arial" w:hAnsi="Arial" w:cs="Arial"/>
          <w:b/>
          <w:bCs/>
          <w:sz w:val="22"/>
          <w:szCs w:val="22"/>
        </w:rPr>
        <w:t xml:space="preserve">Mental and </w:t>
      </w:r>
      <w:r>
        <w:rPr>
          <w:rFonts w:ascii="Arial" w:hAnsi="Arial" w:cs="Arial"/>
          <w:b/>
          <w:bCs/>
          <w:sz w:val="22"/>
          <w:szCs w:val="22"/>
        </w:rPr>
        <w:t>p</w:t>
      </w:r>
      <w:r w:rsidRPr="008B67E9">
        <w:rPr>
          <w:rFonts w:ascii="Arial" w:hAnsi="Arial" w:cs="Arial"/>
          <w:b/>
          <w:bCs/>
          <w:sz w:val="22"/>
          <w:szCs w:val="22"/>
        </w:rPr>
        <w:t xml:space="preserve">hysical </w:t>
      </w:r>
      <w:r>
        <w:rPr>
          <w:rFonts w:ascii="Arial" w:hAnsi="Arial" w:cs="Arial"/>
          <w:b/>
          <w:bCs/>
          <w:sz w:val="22"/>
          <w:szCs w:val="22"/>
        </w:rPr>
        <w:t>h</w:t>
      </w:r>
      <w:r w:rsidRPr="008B67E9">
        <w:rPr>
          <w:rFonts w:ascii="Arial" w:hAnsi="Arial" w:cs="Arial"/>
          <w:b/>
          <w:bCs/>
          <w:sz w:val="22"/>
          <w:szCs w:val="22"/>
        </w:rPr>
        <w:t xml:space="preserve">ealth </w:t>
      </w:r>
      <w:r>
        <w:rPr>
          <w:rFonts w:ascii="Arial" w:hAnsi="Arial" w:cs="Arial"/>
          <w:b/>
          <w:bCs/>
          <w:sz w:val="22"/>
          <w:szCs w:val="22"/>
        </w:rPr>
        <w:t>i</w:t>
      </w:r>
      <w:r w:rsidRPr="008B67E9">
        <w:rPr>
          <w:rFonts w:ascii="Arial" w:hAnsi="Arial" w:cs="Arial"/>
          <w:b/>
          <w:bCs/>
          <w:sz w:val="22"/>
          <w:szCs w:val="22"/>
        </w:rPr>
        <w:t>mpacts</w:t>
      </w:r>
      <w:r w:rsidRPr="008B67E9">
        <w:rPr>
          <w:rFonts w:ascii="Arial" w:hAnsi="Arial" w:cs="Arial"/>
          <w:sz w:val="22"/>
          <w:szCs w:val="22"/>
        </w:rPr>
        <w:t xml:space="preserve">: </w:t>
      </w:r>
    </w:p>
    <w:p w14:paraId="7EE6C48B" w14:textId="77777777" w:rsidR="003C1E51" w:rsidRPr="008B67E9" w:rsidRDefault="003C1E51" w:rsidP="00482E9D">
      <w:pPr>
        <w:spacing w:before="120" w:after="160" w:line="276" w:lineRule="auto"/>
        <w:rPr>
          <w:rFonts w:ascii="Arial" w:hAnsi="Arial" w:cs="Arial"/>
          <w:sz w:val="22"/>
          <w:szCs w:val="22"/>
        </w:rPr>
      </w:pPr>
      <w:r w:rsidRPr="008B67E9">
        <w:rPr>
          <w:rFonts w:ascii="Arial" w:hAnsi="Arial" w:cs="Arial"/>
          <w:sz w:val="22"/>
          <w:szCs w:val="22"/>
        </w:rPr>
        <w:t>The ongoing stress and uncertainty of the rental crisis take a severe toll on the mental and physical health of young people with disabilit</w:t>
      </w:r>
      <w:r>
        <w:rPr>
          <w:rFonts w:ascii="Arial" w:hAnsi="Arial" w:cs="Arial"/>
          <w:sz w:val="22"/>
          <w:szCs w:val="22"/>
        </w:rPr>
        <w:t>y</w:t>
      </w:r>
      <w:r w:rsidRPr="008B67E9">
        <w:rPr>
          <w:rFonts w:ascii="Arial" w:hAnsi="Arial" w:cs="Arial"/>
          <w:sz w:val="22"/>
          <w:szCs w:val="22"/>
        </w:rPr>
        <w:t>. The lack of stable housing contributes to anxiety, depression, and exacerbates existing health conditions, affecting their overall well-being and quality of life.</w:t>
      </w:r>
    </w:p>
    <w:p w14:paraId="760F09AB" w14:textId="591E9691" w:rsidR="003C1E51" w:rsidRDefault="003C1E51" w:rsidP="00482E9D">
      <w:pPr>
        <w:spacing w:before="120" w:after="160" w:line="276" w:lineRule="auto"/>
        <w:rPr>
          <w:rFonts w:ascii="Arial" w:hAnsi="Arial" w:cs="Arial"/>
          <w:sz w:val="22"/>
          <w:szCs w:val="22"/>
        </w:rPr>
      </w:pPr>
      <w:r w:rsidRPr="008B67E9">
        <w:rPr>
          <w:rFonts w:ascii="Arial" w:hAnsi="Arial" w:cs="Arial"/>
          <w:sz w:val="22"/>
          <w:szCs w:val="22"/>
        </w:rPr>
        <w:t>Research show</w:t>
      </w:r>
      <w:r>
        <w:rPr>
          <w:rFonts w:ascii="Arial" w:hAnsi="Arial" w:cs="Arial"/>
          <w:sz w:val="22"/>
          <w:szCs w:val="22"/>
        </w:rPr>
        <w:t>s</w:t>
      </w:r>
      <w:r w:rsidRPr="008B67E9">
        <w:rPr>
          <w:rFonts w:ascii="Arial" w:hAnsi="Arial" w:cs="Arial"/>
          <w:sz w:val="22"/>
          <w:szCs w:val="22"/>
        </w:rPr>
        <w:t xml:space="preserve"> that there is a complex two-way relationship between mental health, </w:t>
      </w:r>
      <w:proofErr w:type="gramStart"/>
      <w:r w:rsidRPr="008B67E9">
        <w:rPr>
          <w:rFonts w:ascii="Arial" w:hAnsi="Arial" w:cs="Arial"/>
          <w:sz w:val="22"/>
          <w:szCs w:val="22"/>
        </w:rPr>
        <w:t>housing</w:t>
      </w:r>
      <w:proofErr w:type="gramEnd"/>
      <w:r w:rsidRPr="008B67E9">
        <w:rPr>
          <w:rFonts w:ascii="Arial" w:hAnsi="Arial" w:cs="Arial"/>
          <w:sz w:val="22"/>
          <w:szCs w:val="22"/>
        </w:rPr>
        <w:t xml:space="preserve"> and homelessness. Significant life events and individual circumstances, such as mental health status, housing engagement, income, and family support, interact in a complex manner and this interaction can lead to a situation where mental ill-health can cause homelessness, and conversely, homelessness may become a trigger for mental ill-health.</w:t>
      </w:r>
      <w:r w:rsidRPr="008B67E9">
        <w:rPr>
          <w:rStyle w:val="FootnoteReference"/>
          <w:rFonts w:ascii="Arial" w:hAnsi="Arial" w:cs="Arial"/>
          <w:sz w:val="22"/>
          <w:szCs w:val="22"/>
        </w:rPr>
        <w:footnoteReference w:id="13"/>
      </w:r>
    </w:p>
    <w:p w14:paraId="011A6C21" w14:textId="494EF20B" w:rsidR="003C1E51" w:rsidRDefault="003C1E51" w:rsidP="00482E9D">
      <w:pPr>
        <w:spacing w:before="120" w:after="160" w:line="276" w:lineRule="auto"/>
        <w:rPr>
          <w:rFonts w:ascii="Arial" w:hAnsi="Arial" w:cs="Arial"/>
          <w:sz w:val="22"/>
          <w:szCs w:val="22"/>
        </w:rPr>
      </w:pPr>
      <w:r w:rsidRPr="4F8EAAAD">
        <w:rPr>
          <w:rFonts w:ascii="Arial" w:hAnsi="Arial" w:cs="Arial"/>
          <w:sz w:val="22"/>
          <w:szCs w:val="22"/>
        </w:rPr>
        <w:t>Uncertainty about housing stability and the struggle to find suitable accommodations can also lead to heightened stress and anxiety levels and the constant fear of eviction or displacement can negatively affect mental well-being. Additionally, when finding stable and suitable housing is difficult</w:t>
      </w:r>
      <w:r>
        <w:rPr>
          <w:rFonts w:ascii="Arial" w:hAnsi="Arial" w:cs="Arial"/>
          <w:sz w:val="22"/>
          <w:szCs w:val="22"/>
        </w:rPr>
        <w:t>,</w:t>
      </w:r>
      <w:r w:rsidRPr="4F8EAAAD">
        <w:rPr>
          <w:rFonts w:ascii="Arial" w:hAnsi="Arial" w:cs="Arial"/>
          <w:sz w:val="22"/>
          <w:szCs w:val="22"/>
        </w:rPr>
        <w:t xml:space="preserve"> it could lead to frequent relocations which disrupts existing trusted social networks</w:t>
      </w:r>
      <w:r w:rsidRPr="00F30660">
        <w:rPr>
          <w:rFonts w:ascii="Arial" w:hAnsi="Arial" w:cs="Arial"/>
          <w:sz w:val="22"/>
          <w:szCs w:val="22"/>
        </w:rPr>
        <w:t xml:space="preserve"> </w:t>
      </w:r>
      <w:r>
        <w:rPr>
          <w:rFonts w:ascii="Arial" w:hAnsi="Arial" w:cs="Arial"/>
          <w:sz w:val="22"/>
          <w:szCs w:val="22"/>
        </w:rPr>
        <w:t>of</w:t>
      </w:r>
      <w:r w:rsidRPr="4F8EAAAD">
        <w:rPr>
          <w:rFonts w:ascii="Arial" w:hAnsi="Arial" w:cs="Arial"/>
          <w:sz w:val="22"/>
          <w:szCs w:val="22"/>
        </w:rPr>
        <w:t xml:space="preserve"> young people, leading to increased feelings of isolation and loneliness.</w:t>
      </w:r>
    </w:p>
    <w:p w14:paraId="24ED58CD" w14:textId="32C2E5C0" w:rsidR="003C1E51" w:rsidRPr="008B67E9" w:rsidRDefault="003C1E51" w:rsidP="00482E9D">
      <w:pPr>
        <w:spacing w:before="120" w:after="160" w:line="276" w:lineRule="auto"/>
        <w:rPr>
          <w:rFonts w:ascii="Arial" w:hAnsi="Arial" w:cs="Arial"/>
          <w:sz w:val="22"/>
          <w:szCs w:val="22"/>
        </w:rPr>
      </w:pPr>
      <w:r w:rsidRPr="4F8EAAAD">
        <w:rPr>
          <w:rFonts w:ascii="Arial" w:hAnsi="Arial" w:cs="Arial"/>
          <w:sz w:val="22"/>
          <w:szCs w:val="22"/>
        </w:rPr>
        <w:lastRenderedPageBreak/>
        <w:t>Based on previously discussed data</w:t>
      </w:r>
      <w:r>
        <w:rPr>
          <w:rFonts w:ascii="Arial" w:hAnsi="Arial" w:cs="Arial"/>
          <w:sz w:val="22"/>
          <w:szCs w:val="22"/>
        </w:rPr>
        <w:t>,</w:t>
      </w:r>
      <w:r w:rsidRPr="4F8EAAAD">
        <w:rPr>
          <w:rFonts w:ascii="Arial" w:hAnsi="Arial" w:cs="Arial"/>
          <w:sz w:val="22"/>
          <w:szCs w:val="22"/>
        </w:rPr>
        <w:t xml:space="preserve"> it is </w:t>
      </w:r>
      <w:r>
        <w:rPr>
          <w:rFonts w:ascii="Arial" w:hAnsi="Arial" w:cs="Arial"/>
          <w:sz w:val="22"/>
          <w:szCs w:val="22"/>
        </w:rPr>
        <w:t xml:space="preserve">also </w:t>
      </w:r>
      <w:r w:rsidRPr="4F8EAAAD">
        <w:rPr>
          <w:rFonts w:ascii="Arial" w:hAnsi="Arial" w:cs="Arial"/>
          <w:sz w:val="22"/>
          <w:szCs w:val="22"/>
        </w:rPr>
        <w:t xml:space="preserve">evident that due to the lack of accessible and disability-friendly rental options, young people with disability may have to settle for substandard living conditions that are not conducive to their health and well-being. Lack of accessibility and safety features in the current rental properties, can lead to physical injuries and health complications, particularly for </w:t>
      </w:r>
      <w:r>
        <w:rPr>
          <w:rFonts w:ascii="Arial" w:hAnsi="Arial" w:cs="Arial"/>
          <w:sz w:val="22"/>
          <w:szCs w:val="22"/>
        </w:rPr>
        <w:t>those</w:t>
      </w:r>
      <w:r w:rsidRPr="4F8EAAAD">
        <w:rPr>
          <w:rFonts w:ascii="Arial" w:hAnsi="Arial" w:cs="Arial"/>
          <w:sz w:val="22"/>
          <w:szCs w:val="22"/>
        </w:rPr>
        <w:t xml:space="preserve"> with mobility challenges or other physical disability.</w:t>
      </w:r>
    </w:p>
    <w:p w14:paraId="39373DB8" w14:textId="03ED95C4" w:rsidR="003C1E51" w:rsidRPr="008B67E9" w:rsidRDefault="003C1E51" w:rsidP="008B67E9">
      <w:pPr>
        <w:pStyle w:val="ListParagraph"/>
        <w:numPr>
          <w:ilvl w:val="0"/>
          <w:numId w:val="14"/>
        </w:numPr>
        <w:spacing w:before="120" w:after="160" w:line="276" w:lineRule="auto"/>
        <w:rPr>
          <w:rFonts w:ascii="Arial" w:hAnsi="Arial" w:cs="Arial"/>
          <w:b/>
          <w:bCs/>
          <w:sz w:val="22"/>
          <w:szCs w:val="22"/>
        </w:rPr>
      </w:pPr>
      <w:r w:rsidRPr="008B67E9">
        <w:rPr>
          <w:rFonts w:ascii="Arial" w:hAnsi="Arial" w:cs="Arial"/>
          <w:b/>
          <w:bCs/>
          <w:sz w:val="22"/>
          <w:szCs w:val="22"/>
        </w:rPr>
        <w:t xml:space="preserve">Data </w:t>
      </w:r>
      <w:r>
        <w:rPr>
          <w:rFonts w:ascii="Arial" w:hAnsi="Arial" w:cs="Arial"/>
          <w:b/>
          <w:bCs/>
          <w:sz w:val="22"/>
          <w:szCs w:val="22"/>
        </w:rPr>
        <w:t>g</w:t>
      </w:r>
      <w:r w:rsidRPr="008B67E9">
        <w:rPr>
          <w:rFonts w:ascii="Arial" w:hAnsi="Arial" w:cs="Arial"/>
          <w:b/>
          <w:bCs/>
          <w:sz w:val="22"/>
          <w:szCs w:val="22"/>
        </w:rPr>
        <w:t>aps:</w:t>
      </w:r>
    </w:p>
    <w:p w14:paraId="1B902DB6" w14:textId="1B197A07" w:rsidR="003C1E51" w:rsidRPr="008B67E9" w:rsidRDefault="003C1E51" w:rsidP="008B67E9">
      <w:pPr>
        <w:spacing w:before="120" w:after="160" w:line="276" w:lineRule="auto"/>
        <w:rPr>
          <w:rFonts w:ascii="Arial" w:hAnsi="Arial" w:cs="Arial"/>
          <w:sz w:val="22"/>
          <w:szCs w:val="22"/>
        </w:rPr>
      </w:pPr>
      <w:r w:rsidRPr="008B67E9">
        <w:rPr>
          <w:rFonts w:ascii="Arial" w:hAnsi="Arial" w:cs="Arial"/>
          <w:sz w:val="22"/>
          <w:szCs w:val="22"/>
        </w:rPr>
        <w:t xml:space="preserve">The lack of specific data on </w:t>
      </w:r>
      <w:r>
        <w:rPr>
          <w:rFonts w:ascii="Arial" w:hAnsi="Arial" w:cs="Arial"/>
          <w:sz w:val="22"/>
          <w:szCs w:val="22"/>
        </w:rPr>
        <w:t xml:space="preserve">housing experiences of children and young people with </w:t>
      </w:r>
      <w:r w:rsidR="00B14002">
        <w:rPr>
          <w:rFonts w:ascii="Arial" w:hAnsi="Arial" w:cs="Arial"/>
          <w:sz w:val="22"/>
          <w:szCs w:val="22"/>
        </w:rPr>
        <w:t xml:space="preserve">disability </w:t>
      </w:r>
      <w:r w:rsidR="00B14002" w:rsidRPr="008B67E9">
        <w:rPr>
          <w:rFonts w:ascii="Arial" w:hAnsi="Arial" w:cs="Arial"/>
          <w:sz w:val="22"/>
          <w:szCs w:val="22"/>
        </w:rPr>
        <w:t>presents</w:t>
      </w:r>
      <w:r w:rsidRPr="008B67E9">
        <w:rPr>
          <w:rFonts w:ascii="Arial" w:hAnsi="Arial" w:cs="Arial"/>
          <w:sz w:val="22"/>
          <w:szCs w:val="22"/>
        </w:rPr>
        <w:t xml:space="preserve"> a concerning </w:t>
      </w:r>
      <w:r>
        <w:rPr>
          <w:rFonts w:ascii="Arial" w:hAnsi="Arial" w:cs="Arial"/>
          <w:sz w:val="22"/>
          <w:szCs w:val="22"/>
        </w:rPr>
        <w:t>gap</w:t>
      </w:r>
      <w:r w:rsidRPr="008B67E9">
        <w:rPr>
          <w:rFonts w:ascii="Arial" w:hAnsi="Arial" w:cs="Arial"/>
          <w:sz w:val="22"/>
          <w:szCs w:val="22"/>
        </w:rPr>
        <w:t xml:space="preserve"> that needs immediate attention. Without comprehensive and accurate data, it becomes challenging to fully understand the extent of housing challenges faced by this cohort. Better data collection and reporting on this topic is crucial as it will not only shed light on the magnitude of the problem but also enable policymakers, researchers, and </w:t>
      </w:r>
      <w:r>
        <w:rPr>
          <w:rFonts w:ascii="Arial" w:hAnsi="Arial" w:cs="Arial"/>
          <w:sz w:val="22"/>
          <w:szCs w:val="22"/>
        </w:rPr>
        <w:t xml:space="preserve">disability </w:t>
      </w:r>
      <w:r w:rsidRPr="008B67E9">
        <w:rPr>
          <w:rFonts w:ascii="Arial" w:hAnsi="Arial" w:cs="Arial"/>
          <w:sz w:val="22"/>
          <w:szCs w:val="22"/>
        </w:rPr>
        <w:t>advocacy organisations to develop targeted strategies and co-design effective solutions to address the housing needs of children and young people with disability. Improved data is a pivotal step towards ensuring that every individual with disability has access to safe and suitable housing that meets their unique needs.</w:t>
      </w:r>
    </w:p>
    <w:p w14:paraId="1C671888" w14:textId="3528E0EA" w:rsidR="002C2105" w:rsidRPr="005B5157" w:rsidRDefault="002C2105" w:rsidP="008B67E9">
      <w:pPr>
        <w:spacing w:before="120" w:after="160" w:line="276" w:lineRule="auto"/>
        <w:rPr>
          <w:rFonts w:ascii="Arial" w:hAnsi="Arial" w:cs="Arial"/>
          <w:b/>
          <w:bCs/>
          <w:sz w:val="22"/>
          <w:szCs w:val="22"/>
        </w:rPr>
      </w:pPr>
      <w:r w:rsidRPr="005B5157">
        <w:rPr>
          <w:rFonts w:ascii="Arial" w:hAnsi="Arial" w:cs="Arial"/>
          <w:b/>
          <w:bCs/>
          <w:sz w:val="22"/>
          <w:szCs w:val="22"/>
        </w:rPr>
        <w:t>Recommendations:</w:t>
      </w:r>
    </w:p>
    <w:p w14:paraId="7F524FBB" w14:textId="62F2EC7B" w:rsidR="003C1E51" w:rsidRPr="008B67E9" w:rsidRDefault="003C1E51" w:rsidP="008B67E9">
      <w:pPr>
        <w:spacing w:before="120" w:after="160" w:line="276" w:lineRule="auto"/>
        <w:rPr>
          <w:rFonts w:ascii="Arial" w:hAnsi="Arial" w:cs="Arial"/>
          <w:sz w:val="22"/>
          <w:szCs w:val="22"/>
        </w:rPr>
      </w:pPr>
      <w:r w:rsidRPr="4F8EAAAD">
        <w:rPr>
          <w:rFonts w:ascii="Arial" w:hAnsi="Arial" w:cs="Arial"/>
          <w:sz w:val="22"/>
          <w:szCs w:val="22"/>
        </w:rPr>
        <w:t>To address this pressing issue, CYDA urges the Senate Standing Committees on Community Affairs to consider the following foundational measures:</w:t>
      </w:r>
    </w:p>
    <w:p w14:paraId="13BB2CA0" w14:textId="014334B8" w:rsidR="003C1E51" w:rsidRPr="008B67E9" w:rsidRDefault="003C1E51" w:rsidP="008B67E9">
      <w:pPr>
        <w:numPr>
          <w:ilvl w:val="0"/>
          <w:numId w:val="15"/>
        </w:numPr>
        <w:tabs>
          <w:tab w:val="num" w:pos="720"/>
        </w:tabs>
        <w:spacing w:before="120" w:after="160" w:line="276" w:lineRule="auto"/>
        <w:rPr>
          <w:rFonts w:ascii="Arial" w:hAnsi="Arial" w:cs="Arial"/>
          <w:b/>
          <w:bCs/>
          <w:sz w:val="22"/>
          <w:szCs w:val="22"/>
        </w:rPr>
      </w:pPr>
      <w:r>
        <w:rPr>
          <w:rFonts w:ascii="Arial" w:hAnsi="Arial" w:cs="Arial"/>
          <w:b/>
          <w:bCs/>
          <w:sz w:val="22"/>
          <w:szCs w:val="22"/>
        </w:rPr>
        <w:t>Review, amend and i</w:t>
      </w:r>
      <w:r w:rsidRPr="008B67E9">
        <w:rPr>
          <w:rFonts w:ascii="Arial" w:hAnsi="Arial" w:cs="Arial"/>
          <w:b/>
          <w:bCs/>
          <w:sz w:val="22"/>
          <w:szCs w:val="22"/>
        </w:rPr>
        <w:t xml:space="preserve">ncrease income support payments </w:t>
      </w:r>
      <w:r>
        <w:rPr>
          <w:rFonts w:ascii="Arial" w:hAnsi="Arial" w:cs="Arial"/>
          <w:b/>
          <w:bCs/>
          <w:sz w:val="22"/>
          <w:szCs w:val="22"/>
        </w:rPr>
        <w:t>for young people with disability</w:t>
      </w:r>
      <w:r w:rsidRPr="008B67E9">
        <w:rPr>
          <w:rFonts w:ascii="Arial" w:hAnsi="Arial" w:cs="Arial"/>
          <w:b/>
          <w:bCs/>
          <w:sz w:val="22"/>
          <w:szCs w:val="22"/>
        </w:rPr>
        <w:t xml:space="preserve">: </w:t>
      </w:r>
    </w:p>
    <w:p w14:paraId="4BACF109" w14:textId="4AA2FA2A" w:rsidR="003C1E51" w:rsidRPr="008B67E9" w:rsidRDefault="003C1E51" w:rsidP="008B67E9">
      <w:pPr>
        <w:tabs>
          <w:tab w:val="num" w:pos="720"/>
        </w:tabs>
        <w:spacing w:before="120" w:after="160" w:line="276" w:lineRule="auto"/>
        <w:rPr>
          <w:rFonts w:ascii="Arial" w:hAnsi="Arial" w:cs="Arial"/>
          <w:sz w:val="22"/>
          <w:szCs w:val="22"/>
        </w:rPr>
      </w:pPr>
      <w:r>
        <w:rPr>
          <w:rFonts w:ascii="Arial" w:hAnsi="Arial" w:cs="Arial"/>
          <w:sz w:val="22"/>
          <w:szCs w:val="22"/>
        </w:rPr>
        <w:t>R</w:t>
      </w:r>
      <w:r w:rsidRPr="00754801">
        <w:rPr>
          <w:rFonts w:ascii="Arial" w:hAnsi="Arial" w:cs="Arial"/>
          <w:sz w:val="22"/>
          <w:szCs w:val="22"/>
        </w:rPr>
        <w:t>eview</w:t>
      </w:r>
      <w:r>
        <w:rPr>
          <w:rFonts w:ascii="Arial" w:hAnsi="Arial" w:cs="Arial"/>
          <w:sz w:val="22"/>
          <w:szCs w:val="22"/>
        </w:rPr>
        <w:t>ing</w:t>
      </w:r>
      <w:r w:rsidRPr="00754801">
        <w:rPr>
          <w:rFonts w:ascii="Arial" w:hAnsi="Arial" w:cs="Arial"/>
          <w:sz w:val="22"/>
          <w:szCs w:val="22"/>
        </w:rPr>
        <w:t xml:space="preserve"> and amend</w:t>
      </w:r>
      <w:r>
        <w:rPr>
          <w:rFonts w:ascii="Arial" w:hAnsi="Arial" w:cs="Arial"/>
          <w:sz w:val="22"/>
          <w:szCs w:val="22"/>
        </w:rPr>
        <w:t>ing</w:t>
      </w:r>
      <w:r w:rsidRPr="00754801">
        <w:rPr>
          <w:rFonts w:ascii="Arial" w:hAnsi="Arial" w:cs="Arial"/>
          <w:sz w:val="22"/>
          <w:szCs w:val="22"/>
        </w:rPr>
        <w:t xml:space="preserve"> </w:t>
      </w:r>
      <w:r w:rsidR="00097E33">
        <w:rPr>
          <w:rFonts w:ascii="Arial" w:hAnsi="Arial" w:cs="Arial"/>
          <w:sz w:val="22"/>
          <w:szCs w:val="22"/>
        </w:rPr>
        <w:t xml:space="preserve">the </w:t>
      </w:r>
      <w:r w:rsidRPr="00754801">
        <w:rPr>
          <w:rFonts w:ascii="Arial" w:hAnsi="Arial" w:cs="Arial"/>
          <w:sz w:val="22"/>
          <w:szCs w:val="22"/>
        </w:rPr>
        <w:t>social security system is necessary to ensure that young people with disability are not living in poverty</w:t>
      </w:r>
      <w:r>
        <w:rPr>
          <w:rFonts w:ascii="Arial" w:hAnsi="Arial" w:cs="Arial"/>
          <w:sz w:val="22"/>
          <w:szCs w:val="22"/>
        </w:rPr>
        <w:t>. I</w:t>
      </w:r>
      <w:r w:rsidRPr="008B67E9">
        <w:rPr>
          <w:rFonts w:ascii="Arial" w:hAnsi="Arial" w:cs="Arial"/>
          <w:sz w:val="22"/>
          <w:szCs w:val="22"/>
        </w:rPr>
        <w:t xml:space="preserve">ncome supports </w:t>
      </w:r>
      <w:r>
        <w:rPr>
          <w:rFonts w:ascii="Arial" w:hAnsi="Arial" w:cs="Arial"/>
          <w:sz w:val="22"/>
          <w:szCs w:val="22"/>
        </w:rPr>
        <w:t xml:space="preserve">should be increased </w:t>
      </w:r>
      <w:r w:rsidRPr="008B67E9">
        <w:rPr>
          <w:rFonts w:ascii="Arial" w:hAnsi="Arial" w:cs="Arial"/>
          <w:sz w:val="22"/>
          <w:szCs w:val="22"/>
        </w:rPr>
        <w:t>to match the upsurge in rent</w:t>
      </w:r>
      <w:r>
        <w:rPr>
          <w:rFonts w:ascii="Arial" w:hAnsi="Arial" w:cs="Arial"/>
          <w:sz w:val="22"/>
          <w:szCs w:val="22"/>
        </w:rPr>
        <w:t>,</w:t>
      </w:r>
      <w:r w:rsidRPr="008B67E9">
        <w:rPr>
          <w:rFonts w:ascii="Arial" w:hAnsi="Arial" w:cs="Arial"/>
          <w:sz w:val="22"/>
          <w:szCs w:val="22"/>
        </w:rPr>
        <w:t xml:space="preserve"> enabl</w:t>
      </w:r>
      <w:r>
        <w:rPr>
          <w:rFonts w:ascii="Arial" w:hAnsi="Arial" w:cs="Arial"/>
          <w:sz w:val="22"/>
          <w:szCs w:val="22"/>
        </w:rPr>
        <w:t>ing</w:t>
      </w:r>
      <w:r w:rsidRPr="008B67E9">
        <w:rPr>
          <w:rFonts w:ascii="Arial" w:hAnsi="Arial" w:cs="Arial"/>
          <w:sz w:val="22"/>
          <w:szCs w:val="22"/>
        </w:rPr>
        <w:t xml:space="preserve"> young people to afford safe and secure </w:t>
      </w:r>
      <w:r>
        <w:rPr>
          <w:rFonts w:ascii="Arial" w:hAnsi="Arial" w:cs="Arial"/>
          <w:sz w:val="22"/>
          <w:szCs w:val="22"/>
        </w:rPr>
        <w:t>housing. This</w:t>
      </w:r>
      <w:r w:rsidRPr="008B67E9">
        <w:rPr>
          <w:rFonts w:ascii="Arial" w:hAnsi="Arial" w:cs="Arial"/>
          <w:sz w:val="22"/>
          <w:szCs w:val="22"/>
        </w:rPr>
        <w:t xml:space="preserve"> is </w:t>
      </w:r>
      <w:r>
        <w:rPr>
          <w:rFonts w:ascii="Arial" w:hAnsi="Arial" w:cs="Arial"/>
          <w:sz w:val="22"/>
          <w:szCs w:val="22"/>
        </w:rPr>
        <w:t xml:space="preserve">one of the </w:t>
      </w:r>
      <w:r w:rsidRPr="008B67E9">
        <w:rPr>
          <w:rFonts w:ascii="Arial" w:hAnsi="Arial" w:cs="Arial"/>
          <w:sz w:val="22"/>
          <w:szCs w:val="22"/>
        </w:rPr>
        <w:t>most significant action</w:t>
      </w:r>
      <w:r>
        <w:rPr>
          <w:rFonts w:ascii="Arial" w:hAnsi="Arial" w:cs="Arial"/>
          <w:sz w:val="22"/>
          <w:szCs w:val="22"/>
        </w:rPr>
        <w:t>s</w:t>
      </w:r>
      <w:r w:rsidRPr="008B67E9">
        <w:rPr>
          <w:rFonts w:ascii="Arial" w:hAnsi="Arial" w:cs="Arial"/>
          <w:sz w:val="22"/>
          <w:szCs w:val="22"/>
        </w:rPr>
        <w:t xml:space="preserve"> governments can take to tackle poverty and housing insecurity</w:t>
      </w:r>
      <w:r>
        <w:rPr>
          <w:rFonts w:ascii="Arial" w:hAnsi="Arial" w:cs="Arial"/>
          <w:sz w:val="22"/>
          <w:szCs w:val="22"/>
        </w:rPr>
        <w:t xml:space="preserve"> particularly for young people with disability.  </w:t>
      </w:r>
    </w:p>
    <w:p w14:paraId="16E40CDD" w14:textId="62528D1A" w:rsidR="003C1E51" w:rsidRPr="008B67E9" w:rsidRDefault="003C1E51" w:rsidP="008B67E9">
      <w:pPr>
        <w:numPr>
          <w:ilvl w:val="0"/>
          <w:numId w:val="15"/>
        </w:numPr>
        <w:tabs>
          <w:tab w:val="num" w:pos="720"/>
        </w:tabs>
        <w:spacing w:before="120" w:after="160" w:line="276" w:lineRule="auto"/>
        <w:rPr>
          <w:rFonts w:ascii="Arial" w:hAnsi="Arial" w:cs="Arial"/>
          <w:b/>
          <w:bCs/>
          <w:sz w:val="22"/>
          <w:szCs w:val="22"/>
        </w:rPr>
      </w:pPr>
      <w:r w:rsidRPr="4F8EAAAD">
        <w:rPr>
          <w:rFonts w:ascii="Arial" w:hAnsi="Arial" w:cs="Arial"/>
          <w:b/>
          <w:bCs/>
          <w:sz w:val="22"/>
          <w:szCs w:val="22"/>
        </w:rPr>
        <w:t xml:space="preserve">Increased </w:t>
      </w:r>
      <w:r>
        <w:rPr>
          <w:rFonts w:ascii="Arial" w:hAnsi="Arial" w:cs="Arial"/>
          <w:b/>
          <w:bCs/>
          <w:sz w:val="22"/>
          <w:szCs w:val="22"/>
        </w:rPr>
        <w:t>i</w:t>
      </w:r>
      <w:r w:rsidRPr="4F8EAAAD">
        <w:rPr>
          <w:rFonts w:ascii="Arial" w:hAnsi="Arial" w:cs="Arial"/>
          <w:b/>
          <w:bCs/>
          <w:sz w:val="22"/>
          <w:szCs w:val="22"/>
        </w:rPr>
        <w:t xml:space="preserve">nvestment in social and affordable housing: </w:t>
      </w:r>
    </w:p>
    <w:p w14:paraId="513D39E0" w14:textId="4039CE83" w:rsidR="00380D6C" w:rsidRDefault="003C1E51" w:rsidP="008B67E9">
      <w:pPr>
        <w:tabs>
          <w:tab w:val="num" w:pos="720"/>
        </w:tabs>
        <w:spacing w:before="120" w:after="160" w:line="276" w:lineRule="auto"/>
        <w:rPr>
          <w:rFonts w:ascii="Arial" w:hAnsi="Arial" w:cs="Arial"/>
          <w:sz w:val="22"/>
          <w:szCs w:val="22"/>
        </w:rPr>
      </w:pPr>
      <w:r w:rsidRPr="008B67E9">
        <w:rPr>
          <w:rFonts w:ascii="Arial" w:hAnsi="Arial" w:cs="Arial"/>
          <w:sz w:val="22"/>
          <w:szCs w:val="22"/>
        </w:rPr>
        <w:t xml:space="preserve">The federal and state and territory governments must invest more resources </w:t>
      </w:r>
      <w:r>
        <w:rPr>
          <w:rFonts w:ascii="Arial" w:hAnsi="Arial" w:cs="Arial"/>
          <w:sz w:val="22"/>
          <w:szCs w:val="22"/>
        </w:rPr>
        <w:t>to</w:t>
      </w:r>
      <w:r w:rsidRPr="008B67E9">
        <w:rPr>
          <w:rFonts w:ascii="Arial" w:hAnsi="Arial" w:cs="Arial"/>
          <w:sz w:val="22"/>
          <w:szCs w:val="22"/>
        </w:rPr>
        <w:t xml:space="preserve"> develop and maintain social and affordable housing options, with a specific focus on accessibility for people with disability.</w:t>
      </w:r>
      <w:r w:rsidRPr="00277902">
        <w:t xml:space="preserve"> </w:t>
      </w:r>
      <w:r w:rsidRPr="00277902">
        <w:rPr>
          <w:rFonts w:ascii="Arial" w:hAnsi="Arial" w:cs="Arial"/>
          <w:sz w:val="22"/>
          <w:szCs w:val="22"/>
        </w:rPr>
        <w:t>Investing in social and affordable housing helps stabili</w:t>
      </w:r>
      <w:r>
        <w:rPr>
          <w:rFonts w:ascii="Arial" w:hAnsi="Arial" w:cs="Arial"/>
          <w:sz w:val="22"/>
          <w:szCs w:val="22"/>
        </w:rPr>
        <w:t>s</w:t>
      </w:r>
      <w:r w:rsidRPr="00277902">
        <w:rPr>
          <w:rFonts w:ascii="Arial" w:hAnsi="Arial" w:cs="Arial"/>
          <w:sz w:val="22"/>
          <w:szCs w:val="22"/>
        </w:rPr>
        <w:t>e rent costs, making it more feasible for young people with disabilit</w:t>
      </w:r>
      <w:r>
        <w:rPr>
          <w:rFonts w:ascii="Arial" w:hAnsi="Arial" w:cs="Arial"/>
          <w:sz w:val="22"/>
          <w:szCs w:val="22"/>
        </w:rPr>
        <w:t>y</w:t>
      </w:r>
      <w:r w:rsidRPr="00277902">
        <w:rPr>
          <w:rFonts w:ascii="Arial" w:hAnsi="Arial" w:cs="Arial"/>
          <w:sz w:val="22"/>
          <w:szCs w:val="22"/>
        </w:rPr>
        <w:t xml:space="preserve"> to afford housing within their limited budgets. This, in turn, reduces the risk of homelessness and financial strain, enabling them to </w:t>
      </w:r>
      <w:r>
        <w:rPr>
          <w:rFonts w:ascii="Arial" w:hAnsi="Arial" w:cs="Arial"/>
          <w:sz w:val="22"/>
          <w:szCs w:val="22"/>
        </w:rPr>
        <w:t>engage in education, employment and increased community participation</w:t>
      </w:r>
      <w:r w:rsidRPr="00277902">
        <w:rPr>
          <w:rFonts w:ascii="Arial" w:hAnsi="Arial" w:cs="Arial"/>
          <w:sz w:val="22"/>
          <w:szCs w:val="22"/>
        </w:rPr>
        <w:t>.</w:t>
      </w:r>
      <w:r>
        <w:rPr>
          <w:rFonts w:ascii="Arial" w:hAnsi="Arial" w:cs="Arial"/>
          <w:sz w:val="22"/>
          <w:szCs w:val="22"/>
        </w:rPr>
        <w:t xml:space="preserve"> I</w:t>
      </w:r>
      <w:r w:rsidRPr="00B406BB">
        <w:rPr>
          <w:rFonts w:ascii="Arial" w:hAnsi="Arial" w:cs="Arial"/>
          <w:sz w:val="22"/>
          <w:szCs w:val="22"/>
        </w:rPr>
        <w:t>nvesting in social housing</w:t>
      </w:r>
      <w:r>
        <w:rPr>
          <w:rFonts w:ascii="Arial" w:hAnsi="Arial" w:cs="Arial"/>
          <w:sz w:val="22"/>
          <w:szCs w:val="22"/>
        </w:rPr>
        <w:t xml:space="preserve"> </w:t>
      </w:r>
      <w:r w:rsidRPr="00B406BB">
        <w:rPr>
          <w:rFonts w:ascii="Arial" w:hAnsi="Arial" w:cs="Arial"/>
          <w:sz w:val="22"/>
          <w:szCs w:val="22"/>
        </w:rPr>
        <w:t>can</w:t>
      </w:r>
      <w:r>
        <w:rPr>
          <w:rFonts w:ascii="Arial" w:hAnsi="Arial" w:cs="Arial"/>
          <w:sz w:val="22"/>
          <w:szCs w:val="22"/>
        </w:rPr>
        <w:t xml:space="preserve"> also</w:t>
      </w:r>
      <w:r w:rsidRPr="00B406BB">
        <w:rPr>
          <w:rFonts w:ascii="Arial" w:hAnsi="Arial" w:cs="Arial"/>
          <w:sz w:val="22"/>
          <w:szCs w:val="22"/>
        </w:rPr>
        <w:t xml:space="preserve"> lead to long-term cost savings for the government</w:t>
      </w:r>
      <w:r>
        <w:rPr>
          <w:rFonts w:ascii="Arial" w:hAnsi="Arial" w:cs="Arial"/>
          <w:sz w:val="22"/>
          <w:szCs w:val="22"/>
        </w:rPr>
        <w:t xml:space="preserve"> by</w:t>
      </w:r>
      <w:r w:rsidRPr="00B406BB">
        <w:rPr>
          <w:rFonts w:ascii="Arial" w:hAnsi="Arial" w:cs="Arial"/>
          <w:sz w:val="22"/>
          <w:szCs w:val="22"/>
        </w:rPr>
        <w:t xml:space="preserve"> reduc</w:t>
      </w:r>
      <w:r>
        <w:rPr>
          <w:rFonts w:ascii="Arial" w:hAnsi="Arial" w:cs="Arial"/>
          <w:sz w:val="22"/>
          <w:szCs w:val="22"/>
        </w:rPr>
        <w:t>ing</w:t>
      </w:r>
      <w:r w:rsidRPr="00B406BB">
        <w:rPr>
          <w:rFonts w:ascii="Arial" w:hAnsi="Arial" w:cs="Arial"/>
          <w:sz w:val="22"/>
          <w:szCs w:val="22"/>
        </w:rPr>
        <w:t xml:space="preserve"> the </w:t>
      </w:r>
      <w:r>
        <w:rPr>
          <w:rFonts w:ascii="Arial" w:hAnsi="Arial" w:cs="Arial"/>
          <w:sz w:val="22"/>
          <w:szCs w:val="22"/>
        </w:rPr>
        <w:t>burden</w:t>
      </w:r>
      <w:r w:rsidRPr="00B406BB">
        <w:rPr>
          <w:rFonts w:ascii="Arial" w:hAnsi="Arial" w:cs="Arial"/>
          <w:sz w:val="22"/>
          <w:szCs w:val="22"/>
        </w:rPr>
        <w:t xml:space="preserve"> on emergency services, health system, and social assistance programs that might otherwise be required </w:t>
      </w:r>
      <w:r>
        <w:rPr>
          <w:rFonts w:ascii="Arial" w:hAnsi="Arial" w:cs="Arial"/>
          <w:sz w:val="22"/>
          <w:szCs w:val="22"/>
        </w:rPr>
        <w:t>to address</w:t>
      </w:r>
      <w:r w:rsidRPr="00B406BB">
        <w:rPr>
          <w:rFonts w:ascii="Arial" w:hAnsi="Arial" w:cs="Arial"/>
          <w:sz w:val="22"/>
          <w:szCs w:val="22"/>
        </w:rPr>
        <w:t xml:space="preserve"> homelessness or inadequate living conditions.</w:t>
      </w:r>
    </w:p>
    <w:p w14:paraId="04B43E2D" w14:textId="77777777" w:rsidR="00380D6C" w:rsidRDefault="00380D6C">
      <w:pPr>
        <w:rPr>
          <w:rFonts w:ascii="Arial" w:hAnsi="Arial" w:cs="Arial"/>
          <w:sz w:val="22"/>
          <w:szCs w:val="22"/>
        </w:rPr>
      </w:pPr>
      <w:r>
        <w:rPr>
          <w:rFonts w:ascii="Arial" w:hAnsi="Arial" w:cs="Arial"/>
          <w:sz w:val="22"/>
          <w:szCs w:val="22"/>
        </w:rPr>
        <w:br w:type="page"/>
      </w:r>
    </w:p>
    <w:p w14:paraId="5E2B5A73" w14:textId="77777777" w:rsidR="003C1E51" w:rsidRPr="008B67E9" w:rsidRDefault="003C1E51" w:rsidP="008B67E9">
      <w:pPr>
        <w:tabs>
          <w:tab w:val="num" w:pos="720"/>
        </w:tabs>
        <w:spacing w:before="120" w:after="160" w:line="276" w:lineRule="auto"/>
        <w:rPr>
          <w:rFonts w:ascii="Arial" w:hAnsi="Arial" w:cs="Arial"/>
          <w:sz w:val="22"/>
          <w:szCs w:val="22"/>
        </w:rPr>
      </w:pPr>
    </w:p>
    <w:p w14:paraId="64CA8C07" w14:textId="4123FE5E" w:rsidR="003C1E51" w:rsidRPr="008B67E9" w:rsidRDefault="003C1E51" w:rsidP="008B67E9">
      <w:pPr>
        <w:numPr>
          <w:ilvl w:val="0"/>
          <w:numId w:val="15"/>
        </w:numPr>
        <w:tabs>
          <w:tab w:val="num" w:pos="720"/>
        </w:tabs>
        <w:spacing w:before="120" w:after="160" w:line="276" w:lineRule="auto"/>
        <w:rPr>
          <w:rFonts w:ascii="Arial" w:hAnsi="Arial" w:cs="Arial"/>
          <w:b/>
          <w:bCs/>
          <w:sz w:val="22"/>
          <w:szCs w:val="22"/>
        </w:rPr>
      </w:pPr>
      <w:r w:rsidRPr="4F8EAAAD">
        <w:rPr>
          <w:rFonts w:ascii="Arial" w:hAnsi="Arial" w:cs="Arial"/>
          <w:b/>
          <w:bCs/>
          <w:sz w:val="22"/>
          <w:szCs w:val="22"/>
        </w:rPr>
        <w:t>Strengthen rental laws for people with disability to prevent unfair evictions and rent increases:</w:t>
      </w:r>
    </w:p>
    <w:p w14:paraId="7B096C05" w14:textId="24FD01CA" w:rsidR="002C2105" w:rsidRPr="00DD29C0" w:rsidRDefault="003C1E51" w:rsidP="00DD29C0">
      <w:pPr>
        <w:tabs>
          <w:tab w:val="num" w:pos="720"/>
        </w:tabs>
        <w:spacing w:before="120" w:after="160" w:line="276" w:lineRule="auto"/>
        <w:rPr>
          <w:rFonts w:ascii="Arial" w:hAnsi="Arial" w:cs="Arial"/>
          <w:sz w:val="22"/>
          <w:szCs w:val="22"/>
        </w:rPr>
      </w:pPr>
      <w:r w:rsidRPr="008B67E9">
        <w:rPr>
          <w:rFonts w:ascii="Arial" w:hAnsi="Arial" w:cs="Arial"/>
          <w:sz w:val="22"/>
          <w:szCs w:val="22"/>
        </w:rPr>
        <w:t>The recent reforms in Victoria</w:t>
      </w:r>
      <w:r w:rsidRPr="008B67E9">
        <w:rPr>
          <w:rStyle w:val="FootnoteReference"/>
          <w:rFonts w:ascii="Arial" w:hAnsi="Arial" w:cs="Arial"/>
          <w:sz w:val="22"/>
          <w:szCs w:val="22"/>
        </w:rPr>
        <w:footnoteReference w:id="14"/>
      </w:r>
      <w:r w:rsidRPr="008B67E9">
        <w:rPr>
          <w:rFonts w:ascii="Arial" w:hAnsi="Arial" w:cs="Arial"/>
          <w:sz w:val="22"/>
          <w:szCs w:val="22"/>
        </w:rPr>
        <w:t xml:space="preserve"> and the ACT</w:t>
      </w:r>
      <w:r w:rsidRPr="008B67E9">
        <w:rPr>
          <w:rStyle w:val="FootnoteReference"/>
          <w:rFonts w:ascii="Arial" w:hAnsi="Arial" w:cs="Arial"/>
          <w:sz w:val="22"/>
          <w:szCs w:val="22"/>
        </w:rPr>
        <w:footnoteReference w:id="15"/>
      </w:r>
      <w:r w:rsidRPr="008B67E9">
        <w:rPr>
          <w:rFonts w:ascii="Arial" w:hAnsi="Arial" w:cs="Arial"/>
          <w:sz w:val="22"/>
          <w:szCs w:val="22"/>
        </w:rPr>
        <w:t xml:space="preserve">, restricting no cause evictions, limiting the amount and regularity of rental increases, and requiring rental properties to meet minimum standards are welcome steps in addressing the current rental crisis. </w:t>
      </w:r>
      <w:r>
        <w:rPr>
          <w:rFonts w:ascii="Arial" w:hAnsi="Arial" w:cs="Arial"/>
          <w:sz w:val="22"/>
          <w:szCs w:val="22"/>
        </w:rPr>
        <w:t>However</w:t>
      </w:r>
      <w:r w:rsidRPr="008B67E9">
        <w:rPr>
          <w:rFonts w:ascii="Arial" w:hAnsi="Arial" w:cs="Arial"/>
          <w:sz w:val="22"/>
          <w:szCs w:val="22"/>
        </w:rPr>
        <w:t>, it is essential to implement consistent nationwide protections and standardised tenancy laws aimed at safeguarding the rights of renters</w:t>
      </w:r>
      <w:r>
        <w:rPr>
          <w:rFonts w:ascii="Arial" w:hAnsi="Arial" w:cs="Arial"/>
          <w:sz w:val="22"/>
          <w:szCs w:val="22"/>
        </w:rPr>
        <w:t xml:space="preserve"> with disability</w:t>
      </w:r>
      <w:r w:rsidRPr="008B67E9">
        <w:rPr>
          <w:rFonts w:ascii="Arial" w:hAnsi="Arial" w:cs="Arial"/>
          <w:sz w:val="22"/>
          <w:szCs w:val="22"/>
        </w:rPr>
        <w:t>. This includes putting an end to no-cause evictions and limiting unwarranted or punitive rent hikes. To ensure effective enforcement, these protections should be actively monitored and enforced</w:t>
      </w:r>
      <w:r>
        <w:rPr>
          <w:rFonts w:ascii="Arial" w:hAnsi="Arial" w:cs="Arial"/>
          <w:sz w:val="22"/>
          <w:szCs w:val="22"/>
        </w:rPr>
        <w:t>. Additionally,</w:t>
      </w:r>
      <w:r w:rsidRPr="008B67E9">
        <w:rPr>
          <w:rFonts w:ascii="Arial" w:hAnsi="Arial" w:cs="Arial"/>
          <w:sz w:val="22"/>
          <w:szCs w:val="22"/>
        </w:rPr>
        <w:t xml:space="preserve"> the responsibility should lie with appropriate authorities to ensure that lease conditions are adhered </w:t>
      </w:r>
      <w:proofErr w:type="gramStart"/>
      <w:r w:rsidRPr="008B67E9">
        <w:rPr>
          <w:rFonts w:ascii="Arial" w:hAnsi="Arial" w:cs="Arial"/>
          <w:sz w:val="22"/>
          <w:szCs w:val="22"/>
        </w:rPr>
        <w:t>to</w:t>
      </w:r>
      <w:proofErr w:type="gramEnd"/>
      <w:r w:rsidRPr="008B67E9">
        <w:rPr>
          <w:rFonts w:ascii="Arial" w:hAnsi="Arial" w:cs="Arial"/>
          <w:sz w:val="22"/>
          <w:szCs w:val="22"/>
        </w:rPr>
        <w:t xml:space="preserve"> and tenants' rights are upheld.</w:t>
      </w:r>
      <w:r w:rsidRPr="008B67E9">
        <w:rPr>
          <w:rStyle w:val="FootnoteReference"/>
          <w:rFonts w:ascii="Arial" w:hAnsi="Arial" w:cs="Arial"/>
          <w:sz w:val="22"/>
          <w:szCs w:val="22"/>
        </w:rPr>
        <w:footnoteReference w:id="16"/>
      </w:r>
      <w:r w:rsidRPr="008B67E9">
        <w:rPr>
          <w:rFonts w:ascii="Arial" w:hAnsi="Arial" w:cs="Arial"/>
          <w:sz w:val="22"/>
          <w:szCs w:val="22"/>
        </w:rPr>
        <w:t xml:space="preserve"> </w:t>
      </w:r>
    </w:p>
    <w:p w14:paraId="2D85AFAE" w14:textId="57733D74" w:rsidR="002C2105" w:rsidRPr="005B5157" w:rsidRDefault="002C2105" w:rsidP="008B67E9">
      <w:pPr>
        <w:spacing w:before="120" w:after="160" w:line="276" w:lineRule="auto"/>
        <w:rPr>
          <w:rFonts w:ascii="Arial" w:hAnsi="Arial" w:cs="Arial"/>
          <w:b/>
          <w:bCs/>
          <w:sz w:val="22"/>
          <w:szCs w:val="22"/>
        </w:rPr>
      </w:pPr>
      <w:r w:rsidRPr="005B5157">
        <w:rPr>
          <w:rFonts w:ascii="Arial" w:hAnsi="Arial" w:cs="Arial"/>
          <w:b/>
          <w:bCs/>
          <w:sz w:val="22"/>
          <w:szCs w:val="22"/>
        </w:rPr>
        <w:t>Conclusion</w:t>
      </w:r>
    </w:p>
    <w:p w14:paraId="3E9612B1" w14:textId="193A734F" w:rsidR="009C5B63" w:rsidRPr="008B67E9" w:rsidRDefault="00FE72CC" w:rsidP="008B67E9">
      <w:pPr>
        <w:spacing w:before="120" w:after="160" w:line="276" w:lineRule="auto"/>
        <w:rPr>
          <w:rFonts w:ascii="Arial" w:hAnsi="Arial" w:cs="Arial"/>
          <w:sz w:val="22"/>
          <w:szCs w:val="22"/>
        </w:rPr>
      </w:pPr>
      <w:r w:rsidRPr="4F8EAAAD">
        <w:rPr>
          <w:rFonts w:ascii="Arial" w:hAnsi="Arial" w:cs="Arial"/>
          <w:sz w:val="22"/>
          <w:szCs w:val="22"/>
        </w:rPr>
        <w:t>Addressing the link between poverty and rental affordability for young people with disability requires a multi-faceted</w:t>
      </w:r>
      <w:r w:rsidR="008E5612">
        <w:rPr>
          <w:rFonts w:ascii="Arial" w:hAnsi="Arial" w:cs="Arial"/>
          <w:sz w:val="22"/>
          <w:szCs w:val="22"/>
        </w:rPr>
        <w:t>, national</w:t>
      </w:r>
      <w:r w:rsidRPr="4F8EAAAD">
        <w:rPr>
          <w:rFonts w:ascii="Arial" w:hAnsi="Arial" w:cs="Arial"/>
          <w:sz w:val="22"/>
          <w:szCs w:val="22"/>
        </w:rPr>
        <w:t xml:space="preserve"> </w:t>
      </w:r>
      <w:r w:rsidR="005F334A" w:rsidRPr="4F8EAAAD">
        <w:rPr>
          <w:rFonts w:ascii="Arial" w:hAnsi="Arial" w:cs="Arial"/>
          <w:sz w:val="22"/>
          <w:szCs w:val="22"/>
        </w:rPr>
        <w:t>and</w:t>
      </w:r>
      <w:r w:rsidR="004359DD">
        <w:rPr>
          <w:rFonts w:ascii="Arial" w:hAnsi="Arial" w:cs="Arial"/>
          <w:sz w:val="22"/>
          <w:szCs w:val="22"/>
        </w:rPr>
        <w:t xml:space="preserve"> </w:t>
      </w:r>
      <w:proofErr w:type="gramStart"/>
      <w:r w:rsidR="004359DD">
        <w:rPr>
          <w:rFonts w:ascii="Arial" w:hAnsi="Arial" w:cs="Arial"/>
          <w:sz w:val="22"/>
          <w:szCs w:val="22"/>
        </w:rPr>
        <w:t>long term</w:t>
      </w:r>
      <w:proofErr w:type="gramEnd"/>
      <w:r w:rsidR="004359DD">
        <w:rPr>
          <w:rFonts w:ascii="Arial" w:hAnsi="Arial" w:cs="Arial"/>
          <w:sz w:val="22"/>
          <w:szCs w:val="22"/>
        </w:rPr>
        <w:t xml:space="preserve"> commitment</w:t>
      </w:r>
      <w:r w:rsidRPr="4F8EAAAD">
        <w:rPr>
          <w:rFonts w:ascii="Arial" w:hAnsi="Arial" w:cs="Arial"/>
          <w:sz w:val="22"/>
          <w:szCs w:val="22"/>
        </w:rPr>
        <w:t>. It involves</w:t>
      </w:r>
      <w:r w:rsidR="006B3BE1">
        <w:rPr>
          <w:rFonts w:ascii="Arial" w:hAnsi="Arial" w:cs="Arial"/>
          <w:sz w:val="22"/>
          <w:szCs w:val="22"/>
        </w:rPr>
        <w:t xml:space="preserve"> developing and</w:t>
      </w:r>
      <w:r w:rsidRPr="4F8EAAAD">
        <w:rPr>
          <w:rFonts w:ascii="Arial" w:hAnsi="Arial" w:cs="Arial"/>
          <w:sz w:val="22"/>
          <w:szCs w:val="22"/>
        </w:rPr>
        <w:t xml:space="preserve"> implementing policies that provide adequate income support, increasing the availability of accessible and affordable housing options, promoting inclusive and non-discriminatory rental practices, and enhancing support services to help young people with disabilit</w:t>
      </w:r>
      <w:r w:rsidR="00201B4D">
        <w:rPr>
          <w:rFonts w:ascii="Arial" w:hAnsi="Arial" w:cs="Arial"/>
          <w:sz w:val="22"/>
          <w:szCs w:val="22"/>
        </w:rPr>
        <w:t>y</w:t>
      </w:r>
      <w:r w:rsidR="00F10A80">
        <w:rPr>
          <w:rFonts w:ascii="Arial" w:hAnsi="Arial" w:cs="Arial"/>
          <w:sz w:val="22"/>
          <w:szCs w:val="22"/>
        </w:rPr>
        <w:t xml:space="preserve"> to</w:t>
      </w:r>
      <w:r w:rsidRPr="4F8EAAAD">
        <w:rPr>
          <w:rFonts w:ascii="Arial" w:hAnsi="Arial" w:cs="Arial"/>
          <w:sz w:val="22"/>
          <w:szCs w:val="22"/>
        </w:rPr>
        <w:t xml:space="preserve"> secure stable and affordable housing. Additionally, collaborative efforts between governments, </w:t>
      </w:r>
      <w:r w:rsidR="4F120E4D" w:rsidRPr="4F8EAAAD">
        <w:rPr>
          <w:rFonts w:ascii="Arial" w:hAnsi="Arial" w:cs="Arial"/>
          <w:sz w:val="22"/>
          <w:szCs w:val="22"/>
        </w:rPr>
        <w:t>Disability Representative Organisations</w:t>
      </w:r>
      <w:r w:rsidRPr="4F8EAAAD">
        <w:rPr>
          <w:rFonts w:ascii="Arial" w:hAnsi="Arial" w:cs="Arial"/>
          <w:sz w:val="22"/>
          <w:szCs w:val="22"/>
        </w:rPr>
        <w:t xml:space="preserve">, the </w:t>
      </w:r>
      <w:r w:rsidR="00DA5B0A" w:rsidRPr="4F8EAAAD">
        <w:rPr>
          <w:rFonts w:ascii="Arial" w:hAnsi="Arial" w:cs="Arial"/>
          <w:sz w:val="22"/>
          <w:szCs w:val="22"/>
        </w:rPr>
        <w:t>housing</w:t>
      </w:r>
      <w:r w:rsidRPr="4F8EAAAD">
        <w:rPr>
          <w:rFonts w:ascii="Arial" w:hAnsi="Arial" w:cs="Arial"/>
          <w:sz w:val="22"/>
          <w:szCs w:val="22"/>
        </w:rPr>
        <w:t xml:space="preserve"> sector</w:t>
      </w:r>
      <w:r w:rsidR="00913798">
        <w:rPr>
          <w:rFonts w:ascii="Arial" w:hAnsi="Arial" w:cs="Arial"/>
          <w:sz w:val="22"/>
          <w:szCs w:val="22"/>
        </w:rPr>
        <w:t xml:space="preserve"> and </w:t>
      </w:r>
      <w:r w:rsidR="00E7291A">
        <w:rPr>
          <w:rFonts w:ascii="Arial" w:hAnsi="Arial" w:cs="Arial"/>
          <w:sz w:val="22"/>
          <w:szCs w:val="22"/>
        </w:rPr>
        <w:t>crucially, people with disability</w:t>
      </w:r>
      <w:r w:rsidRPr="4F8EAAAD">
        <w:rPr>
          <w:rFonts w:ascii="Arial" w:hAnsi="Arial" w:cs="Arial"/>
          <w:sz w:val="22"/>
          <w:szCs w:val="22"/>
        </w:rPr>
        <w:t xml:space="preserve"> are </w:t>
      </w:r>
      <w:r w:rsidR="003648DF">
        <w:rPr>
          <w:rFonts w:ascii="Arial" w:hAnsi="Arial" w:cs="Arial"/>
          <w:sz w:val="22"/>
          <w:szCs w:val="22"/>
        </w:rPr>
        <w:t>necessary</w:t>
      </w:r>
      <w:r w:rsidR="003648DF" w:rsidRPr="4F8EAAAD">
        <w:rPr>
          <w:rFonts w:ascii="Arial" w:hAnsi="Arial" w:cs="Arial"/>
          <w:sz w:val="22"/>
          <w:szCs w:val="22"/>
        </w:rPr>
        <w:t xml:space="preserve"> </w:t>
      </w:r>
      <w:r w:rsidRPr="4F8EAAAD">
        <w:rPr>
          <w:rFonts w:ascii="Arial" w:hAnsi="Arial" w:cs="Arial"/>
          <w:sz w:val="22"/>
          <w:szCs w:val="22"/>
        </w:rPr>
        <w:t>to breaking down barriers and creating a more inclusive rental market for young people with disabilit</w:t>
      </w:r>
      <w:r w:rsidR="00DA5B0A" w:rsidRPr="4F8EAAAD">
        <w:rPr>
          <w:rFonts w:ascii="Arial" w:hAnsi="Arial" w:cs="Arial"/>
          <w:sz w:val="22"/>
          <w:szCs w:val="22"/>
        </w:rPr>
        <w:t>y</w:t>
      </w:r>
      <w:r w:rsidRPr="4F8EAAAD">
        <w:rPr>
          <w:rFonts w:ascii="Arial" w:hAnsi="Arial" w:cs="Arial"/>
          <w:sz w:val="22"/>
          <w:szCs w:val="22"/>
        </w:rPr>
        <w:t>.</w:t>
      </w:r>
    </w:p>
    <w:p w14:paraId="350A7D47" w14:textId="17022379" w:rsidR="00775A88" w:rsidRPr="008B67E9" w:rsidRDefault="00C16A15" w:rsidP="008B67E9">
      <w:pPr>
        <w:spacing w:before="120" w:after="160" w:line="276" w:lineRule="auto"/>
        <w:rPr>
          <w:rFonts w:ascii="Arial" w:hAnsi="Arial" w:cs="Arial"/>
          <w:sz w:val="22"/>
          <w:szCs w:val="22"/>
        </w:rPr>
      </w:pPr>
      <w:r>
        <w:rPr>
          <w:rFonts w:ascii="Arial" w:hAnsi="Arial" w:cs="Arial"/>
          <w:sz w:val="22"/>
          <w:szCs w:val="22"/>
        </w:rPr>
        <w:t xml:space="preserve">We welcome the opportunity to appear before the Committee to discuss our submission further. </w:t>
      </w:r>
      <w:r w:rsidR="00775A88" w:rsidRPr="4F8EAAAD">
        <w:rPr>
          <w:rFonts w:ascii="Arial" w:hAnsi="Arial" w:cs="Arial"/>
          <w:sz w:val="22"/>
          <w:szCs w:val="22"/>
        </w:rPr>
        <w:t xml:space="preserve">If you would like to know more about </w:t>
      </w:r>
      <w:r w:rsidR="00E22DFF" w:rsidRPr="4F8EAAAD">
        <w:rPr>
          <w:rFonts w:ascii="Arial" w:hAnsi="Arial" w:cs="Arial"/>
          <w:sz w:val="22"/>
          <w:szCs w:val="22"/>
        </w:rPr>
        <w:t>this submission</w:t>
      </w:r>
      <w:r w:rsidR="2ACA22CC" w:rsidRPr="4F8EAAAD">
        <w:rPr>
          <w:rFonts w:ascii="Arial" w:hAnsi="Arial" w:cs="Arial"/>
          <w:sz w:val="22"/>
          <w:szCs w:val="22"/>
        </w:rPr>
        <w:t xml:space="preserve"> or other projects by </w:t>
      </w:r>
      <w:r w:rsidR="0023711C" w:rsidRPr="4F8EAAAD">
        <w:rPr>
          <w:rFonts w:ascii="Arial" w:hAnsi="Arial" w:cs="Arial"/>
          <w:sz w:val="22"/>
          <w:szCs w:val="22"/>
        </w:rPr>
        <w:t>CYDA</w:t>
      </w:r>
      <w:r w:rsidR="139A672E" w:rsidRPr="4F8EAAAD">
        <w:rPr>
          <w:rFonts w:ascii="Arial" w:hAnsi="Arial" w:cs="Arial"/>
          <w:sz w:val="22"/>
          <w:szCs w:val="22"/>
        </w:rPr>
        <w:t xml:space="preserve"> mentioned in the appendix</w:t>
      </w:r>
      <w:r w:rsidR="0023711C" w:rsidRPr="4F8EAAAD">
        <w:rPr>
          <w:rFonts w:ascii="Arial" w:hAnsi="Arial" w:cs="Arial"/>
          <w:sz w:val="22"/>
          <w:szCs w:val="22"/>
        </w:rPr>
        <w:t xml:space="preserve">, please </w:t>
      </w:r>
      <w:r w:rsidR="005A76B7" w:rsidRPr="4F8EAAAD">
        <w:rPr>
          <w:rFonts w:ascii="Arial" w:hAnsi="Arial" w:cs="Arial"/>
          <w:sz w:val="22"/>
          <w:szCs w:val="22"/>
        </w:rPr>
        <w:t xml:space="preserve">feel free to contact </w:t>
      </w:r>
      <w:r w:rsidR="00A04D4C">
        <w:rPr>
          <w:rFonts w:ascii="Arial" w:hAnsi="Arial" w:cs="Arial"/>
          <w:sz w:val="22"/>
          <w:szCs w:val="22"/>
        </w:rPr>
        <w:t>Liz Hudson</w:t>
      </w:r>
      <w:r w:rsidR="00D41C07">
        <w:rPr>
          <w:rFonts w:ascii="Arial" w:hAnsi="Arial" w:cs="Arial"/>
          <w:sz w:val="22"/>
          <w:szCs w:val="22"/>
        </w:rPr>
        <w:t>,</w:t>
      </w:r>
      <w:r w:rsidR="0012342C" w:rsidRPr="4F8EAAAD">
        <w:rPr>
          <w:rFonts w:ascii="Arial" w:hAnsi="Arial" w:cs="Arial"/>
          <w:sz w:val="22"/>
          <w:szCs w:val="22"/>
        </w:rPr>
        <w:t xml:space="preserve"> </w:t>
      </w:r>
      <w:proofErr w:type="gramStart"/>
      <w:r w:rsidR="00E22DFF" w:rsidRPr="4F8EAAAD">
        <w:rPr>
          <w:rFonts w:ascii="Arial" w:hAnsi="Arial" w:cs="Arial"/>
          <w:sz w:val="22"/>
          <w:szCs w:val="22"/>
        </w:rPr>
        <w:t>Policy</w:t>
      </w:r>
      <w:proofErr w:type="gramEnd"/>
      <w:r w:rsidR="00E22DFF" w:rsidRPr="4F8EAAAD">
        <w:rPr>
          <w:rFonts w:ascii="Arial" w:hAnsi="Arial" w:cs="Arial"/>
          <w:sz w:val="22"/>
          <w:szCs w:val="22"/>
        </w:rPr>
        <w:t xml:space="preserve"> and </w:t>
      </w:r>
      <w:r w:rsidR="007C35AF" w:rsidRPr="4F8EAAAD">
        <w:rPr>
          <w:rFonts w:ascii="Arial" w:hAnsi="Arial" w:cs="Arial"/>
          <w:sz w:val="22"/>
          <w:szCs w:val="22"/>
        </w:rPr>
        <w:t>Research</w:t>
      </w:r>
      <w:r w:rsidR="00E22DFF" w:rsidRPr="4F8EAAAD">
        <w:rPr>
          <w:rFonts w:ascii="Arial" w:hAnsi="Arial" w:cs="Arial"/>
          <w:sz w:val="22"/>
          <w:szCs w:val="22"/>
        </w:rPr>
        <w:t xml:space="preserve"> </w:t>
      </w:r>
      <w:r w:rsidR="00D47875">
        <w:rPr>
          <w:rFonts w:ascii="Arial" w:hAnsi="Arial" w:cs="Arial"/>
          <w:sz w:val="22"/>
          <w:szCs w:val="22"/>
        </w:rPr>
        <w:t xml:space="preserve">Manager </w:t>
      </w:r>
      <w:r w:rsidR="005A76B7" w:rsidRPr="4F8EAAAD">
        <w:rPr>
          <w:rFonts w:ascii="Arial" w:hAnsi="Arial" w:cs="Arial"/>
          <w:sz w:val="22"/>
          <w:szCs w:val="22"/>
        </w:rPr>
        <w:t xml:space="preserve">on 03 9417 1025 or </w:t>
      </w:r>
      <w:hyperlink r:id="rId14">
        <w:r w:rsidR="00D47875">
          <w:rPr>
            <w:rStyle w:val="Hyperlink"/>
            <w:rFonts w:ascii="Arial" w:hAnsi="Arial" w:cs="Arial"/>
            <w:sz w:val="22"/>
            <w:szCs w:val="22"/>
          </w:rPr>
          <w:t>lizhudson@cyda.org.au</w:t>
        </w:r>
      </w:hyperlink>
      <w:r w:rsidR="0023711C" w:rsidRPr="4F8EAAAD">
        <w:rPr>
          <w:rFonts w:ascii="Arial" w:hAnsi="Arial" w:cs="Arial"/>
          <w:sz w:val="22"/>
          <w:szCs w:val="22"/>
        </w:rPr>
        <w:t xml:space="preserve">. </w:t>
      </w:r>
      <w:r w:rsidR="00775A88" w:rsidRPr="4F8EAAAD">
        <w:rPr>
          <w:rFonts w:ascii="Arial" w:hAnsi="Arial" w:cs="Arial"/>
          <w:sz w:val="22"/>
          <w:szCs w:val="22"/>
        </w:rPr>
        <w:t xml:space="preserve"> </w:t>
      </w:r>
    </w:p>
    <w:p w14:paraId="748C4D0E" w14:textId="77777777" w:rsidR="00302579" w:rsidRDefault="00302579" w:rsidP="00302579">
      <w:pPr>
        <w:spacing w:after="240"/>
        <w:jc w:val="both"/>
        <w:rPr>
          <w:rFonts w:ascii="Arial" w:hAnsi="Arial" w:cs="Arial"/>
          <w:sz w:val="22"/>
          <w:szCs w:val="22"/>
        </w:rPr>
      </w:pPr>
    </w:p>
    <w:p w14:paraId="62F4AB8B" w14:textId="2EE7253C" w:rsidR="00302579" w:rsidRPr="00A96E58" w:rsidRDefault="00302579" w:rsidP="00302579">
      <w:pPr>
        <w:spacing w:after="240"/>
        <w:jc w:val="both"/>
        <w:rPr>
          <w:rFonts w:ascii="Arial" w:hAnsi="Arial" w:cs="Arial"/>
          <w:sz w:val="22"/>
          <w:szCs w:val="22"/>
        </w:rPr>
      </w:pPr>
      <w:r w:rsidRPr="00A96E58">
        <w:rPr>
          <w:rFonts w:ascii="Arial" w:hAnsi="Arial" w:cs="Arial"/>
          <w:sz w:val="22"/>
          <w:szCs w:val="22"/>
        </w:rPr>
        <w:t>Kind regards,</w:t>
      </w:r>
    </w:p>
    <w:p w14:paraId="5F65DDD1" w14:textId="1647599C" w:rsidR="00302579" w:rsidRDefault="00302579" w:rsidP="00302579">
      <w:pPr>
        <w:spacing w:line="288" w:lineRule="auto"/>
        <w:contextualSpacing/>
        <w:rPr>
          <w:rFonts w:ascii="Arial" w:hAnsi="Arial" w:cs="Arial"/>
          <w:sz w:val="22"/>
          <w:szCs w:val="22"/>
        </w:rPr>
      </w:pPr>
    </w:p>
    <w:p w14:paraId="61FB9176" w14:textId="77777777" w:rsidR="00302579" w:rsidRPr="00A636B6" w:rsidRDefault="00302579" w:rsidP="00302579">
      <w:pPr>
        <w:rPr>
          <w:rFonts w:ascii="Arial" w:hAnsi="Arial" w:cs="Arial"/>
          <w:sz w:val="22"/>
          <w:szCs w:val="22"/>
        </w:rPr>
      </w:pPr>
      <w:r w:rsidRPr="00A636B6">
        <w:rPr>
          <w:rFonts w:ascii="Arial" w:hAnsi="Arial" w:cs="Arial"/>
          <w:sz w:val="22"/>
          <w:szCs w:val="22"/>
        </w:rPr>
        <w:t>Skye Kakoschke-Moore</w:t>
      </w:r>
    </w:p>
    <w:p w14:paraId="0B084359" w14:textId="77777777" w:rsidR="00302579" w:rsidRPr="00A636B6" w:rsidRDefault="00302579" w:rsidP="00302579">
      <w:pPr>
        <w:rPr>
          <w:rFonts w:ascii="Arial" w:hAnsi="Arial" w:cs="Arial"/>
          <w:sz w:val="22"/>
          <w:szCs w:val="22"/>
        </w:rPr>
      </w:pPr>
      <w:r w:rsidRPr="00A636B6">
        <w:rPr>
          <w:rFonts w:ascii="Arial" w:hAnsi="Arial" w:cs="Arial"/>
          <w:sz w:val="22"/>
          <w:szCs w:val="22"/>
        </w:rPr>
        <w:t>Chief Executive Officer</w:t>
      </w:r>
    </w:p>
    <w:p w14:paraId="490FF7EC" w14:textId="77777777" w:rsidR="003D1204" w:rsidRDefault="003D1204">
      <w:pPr>
        <w:rPr>
          <w:rFonts w:ascii="Arial" w:eastAsia="MS Gothic" w:hAnsi="Arial" w:cs="Arial"/>
          <w:b/>
          <w:bCs/>
          <w:color w:val="538135"/>
          <w:sz w:val="22"/>
          <w:szCs w:val="22"/>
        </w:rPr>
      </w:pPr>
      <w:r>
        <w:rPr>
          <w:rFonts w:ascii="Arial" w:eastAsia="MS Gothic" w:hAnsi="Arial" w:cs="Arial"/>
          <w:b/>
          <w:bCs/>
          <w:color w:val="538135"/>
          <w:sz w:val="22"/>
          <w:szCs w:val="22"/>
        </w:rPr>
        <w:br w:type="page"/>
      </w:r>
    </w:p>
    <w:p w14:paraId="537BC5DE" w14:textId="110006C2" w:rsidR="00170D53" w:rsidRPr="007B0A0B" w:rsidRDefault="008B783B" w:rsidP="007B0A0B">
      <w:pPr>
        <w:spacing w:before="120" w:after="160" w:line="276" w:lineRule="auto"/>
        <w:contextualSpacing/>
        <w:rPr>
          <w:rFonts w:ascii="Arial" w:hAnsi="Arial" w:cs="Arial"/>
          <w:sz w:val="22"/>
          <w:szCs w:val="22"/>
        </w:rPr>
      </w:pPr>
      <w:r w:rsidRPr="008B67E9">
        <w:rPr>
          <w:rFonts w:ascii="Arial" w:eastAsia="MS Gothic" w:hAnsi="Arial" w:cs="Arial"/>
          <w:b/>
          <w:bCs/>
          <w:color w:val="538135"/>
          <w:sz w:val="22"/>
          <w:szCs w:val="22"/>
        </w:rPr>
        <w:lastRenderedPageBreak/>
        <w:t xml:space="preserve">Appendix A: </w:t>
      </w:r>
      <w:sdt>
        <w:sdtPr>
          <w:rPr>
            <w:rFonts w:ascii="Arial" w:eastAsia="MS Gothic" w:hAnsi="Arial" w:cs="Arial"/>
            <w:b/>
            <w:bCs/>
            <w:color w:val="538135"/>
            <w:sz w:val="22"/>
            <w:szCs w:val="22"/>
          </w:rPr>
          <w:id w:val="1851371324"/>
          <w:placeholder>
            <w:docPart w:val="DefaultPlaceholder_-1854013440"/>
          </w:placeholder>
        </w:sdtPr>
        <w:sdtEndPr/>
        <w:sdtContent>
          <w:r w:rsidR="006535B1">
            <w:rPr>
              <w:rFonts w:ascii="Arial" w:eastAsia="MS Gothic" w:hAnsi="Arial" w:cs="Arial"/>
              <w:b/>
              <w:bCs/>
              <w:color w:val="538135"/>
              <w:sz w:val="22"/>
              <w:szCs w:val="22"/>
            </w:rPr>
            <w:t>Our</w:t>
          </w:r>
          <w:r w:rsidR="009C5B63" w:rsidRPr="008B67E9">
            <w:rPr>
              <w:rFonts w:ascii="Arial" w:eastAsia="MS Gothic" w:hAnsi="Arial" w:cs="Arial"/>
              <w:b/>
              <w:bCs/>
              <w:color w:val="538135"/>
              <w:sz w:val="22"/>
              <w:szCs w:val="22"/>
            </w:rPr>
            <w:t xml:space="preserve"> previous work</w:t>
          </w:r>
        </w:sdtContent>
      </w:sdt>
    </w:p>
    <w:p w14:paraId="16A69654" w14:textId="16B90830" w:rsidR="008356EE" w:rsidRPr="008356EE" w:rsidRDefault="008356EE" w:rsidP="008356EE">
      <w:pPr>
        <w:pStyle w:val="Title"/>
        <w:spacing w:line="276" w:lineRule="auto"/>
        <w:rPr>
          <w:rFonts w:ascii="Arial" w:eastAsiaTheme="minorHAnsi" w:hAnsi="Arial" w:cs="Arial"/>
          <w:b/>
          <w:bCs/>
          <w:spacing w:val="0"/>
          <w:kern w:val="0"/>
          <w:sz w:val="22"/>
          <w:szCs w:val="22"/>
        </w:rPr>
      </w:pPr>
      <w:r w:rsidRPr="008356EE">
        <w:rPr>
          <w:rFonts w:ascii="Arial" w:eastAsiaTheme="minorHAnsi" w:hAnsi="Arial" w:cs="Arial"/>
          <w:b/>
          <w:bCs/>
          <w:spacing w:val="0"/>
          <w:kern w:val="0"/>
          <w:sz w:val="22"/>
          <w:szCs w:val="22"/>
        </w:rPr>
        <w:t xml:space="preserve">CYDA’s work on rights, recognition and </w:t>
      </w:r>
      <w:proofErr w:type="gramStart"/>
      <w:r w:rsidRPr="008356EE">
        <w:rPr>
          <w:rFonts w:ascii="Arial" w:eastAsiaTheme="minorHAnsi" w:hAnsi="Arial" w:cs="Arial"/>
          <w:b/>
          <w:bCs/>
          <w:spacing w:val="0"/>
          <w:kern w:val="0"/>
          <w:sz w:val="22"/>
          <w:szCs w:val="22"/>
        </w:rPr>
        <w:t>attitudes</w:t>
      </w:r>
      <w:proofErr w:type="gramEnd"/>
    </w:p>
    <w:p w14:paraId="519DC4FA" w14:textId="753C18F7" w:rsidR="00DA0CDE" w:rsidRDefault="008356EE" w:rsidP="008356EE">
      <w:pPr>
        <w:pStyle w:val="Title"/>
        <w:numPr>
          <w:ilvl w:val="0"/>
          <w:numId w:val="19"/>
        </w:numPr>
        <w:spacing w:line="276" w:lineRule="auto"/>
        <w:rPr>
          <w:rFonts w:ascii="Arial" w:eastAsiaTheme="minorHAnsi" w:hAnsi="Arial" w:cs="Arial"/>
          <w:spacing w:val="0"/>
          <w:kern w:val="0"/>
          <w:sz w:val="22"/>
          <w:szCs w:val="22"/>
        </w:rPr>
      </w:pPr>
      <w:r w:rsidRPr="008356EE">
        <w:rPr>
          <w:rFonts w:ascii="Arial" w:eastAsiaTheme="minorHAnsi" w:hAnsi="Arial" w:cs="Arial"/>
          <w:spacing w:val="0"/>
          <w:kern w:val="0"/>
          <w:sz w:val="22"/>
          <w:szCs w:val="22"/>
        </w:rPr>
        <w:t>CYDA’s</w:t>
      </w:r>
      <w:r w:rsidR="00EF261F">
        <w:rPr>
          <w:rFonts w:ascii="Arial" w:eastAsiaTheme="minorHAnsi" w:hAnsi="Arial" w:cs="Arial"/>
          <w:spacing w:val="0"/>
          <w:kern w:val="0"/>
          <w:sz w:val="22"/>
          <w:szCs w:val="22"/>
        </w:rPr>
        <w:t xml:space="preserve"> </w:t>
      </w:r>
      <w:hyperlink r:id="rId15" w:history="1">
        <w:r w:rsidR="00A23F9D" w:rsidRPr="00A23F9D">
          <w:rPr>
            <w:rStyle w:val="Hyperlink"/>
            <w:rFonts w:ascii="Arial" w:eastAsiaTheme="minorHAnsi" w:hAnsi="Arial" w:cs="Arial"/>
            <w:spacing w:val="0"/>
            <w:kern w:val="0"/>
            <w:sz w:val="22"/>
            <w:szCs w:val="22"/>
          </w:rPr>
          <w:t>2021-22 Pre-Budget submission</w:t>
        </w:r>
      </w:hyperlink>
      <w:r w:rsidRPr="008356EE">
        <w:rPr>
          <w:rFonts w:ascii="Arial" w:eastAsiaTheme="minorHAnsi" w:hAnsi="Arial" w:cs="Arial"/>
          <w:spacing w:val="0"/>
          <w:kern w:val="0"/>
          <w:sz w:val="22"/>
          <w:szCs w:val="22"/>
        </w:rPr>
        <w:t>: Drive inclusion and equity for children and young people with disability</w:t>
      </w:r>
    </w:p>
    <w:p w14:paraId="3E0CBA9D" w14:textId="4D955DD6" w:rsidR="00027A9B" w:rsidRDefault="006427F9" w:rsidP="008356EE">
      <w:pPr>
        <w:pStyle w:val="Title"/>
        <w:numPr>
          <w:ilvl w:val="0"/>
          <w:numId w:val="19"/>
        </w:numPr>
        <w:spacing w:line="276" w:lineRule="auto"/>
        <w:rPr>
          <w:rFonts w:ascii="Arial" w:eastAsiaTheme="minorHAnsi" w:hAnsi="Arial" w:cs="Arial"/>
          <w:spacing w:val="0"/>
          <w:kern w:val="0"/>
          <w:sz w:val="22"/>
          <w:szCs w:val="22"/>
        </w:rPr>
      </w:pPr>
      <w:hyperlink r:id="rId16" w:history="1">
        <w:r w:rsidR="008356EE" w:rsidRPr="00027A9B">
          <w:rPr>
            <w:rStyle w:val="Hyperlink"/>
            <w:rFonts w:ascii="Arial" w:eastAsiaTheme="minorHAnsi" w:hAnsi="Arial" w:cs="Arial"/>
            <w:spacing w:val="0"/>
            <w:kern w:val="0"/>
            <w:sz w:val="22"/>
            <w:szCs w:val="22"/>
          </w:rPr>
          <w:t>Response</w:t>
        </w:r>
      </w:hyperlink>
      <w:r w:rsidR="008356EE" w:rsidRPr="00DA0CDE">
        <w:rPr>
          <w:rFonts w:ascii="Arial" w:eastAsiaTheme="minorHAnsi" w:hAnsi="Arial" w:cs="Arial"/>
          <w:spacing w:val="0"/>
          <w:kern w:val="0"/>
          <w:sz w:val="22"/>
          <w:szCs w:val="22"/>
        </w:rPr>
        <w:t xml:space="preserve"> to the Disability Royal Commission Rights and Attitudes issues paper</w:t>
      </w:r>
    </w:p>
    <w:p w14:paraId="632403F6" w14:textId="0C69D184" w:rsidR="008356EE" w:rsidRPr="00027A9B" w:rsidRDefault="006427F9" w:rsidP="008356EE">
      <w:pPr>
        <w:pStyle w:val="Title"/>
        <w:numPr>
          <w:ilvl w:val="0"/>
          <w:numId w:val="19"/>
        </w:numPr>
        <w:spacing w:line="276" w:lineRule="auto"/>
        <w:rPr>
          <w:rFonts w:ascii="Arial" w:eastAsiaTheme="minorHAnsi" w:hAnsi="Arial" w:cs="Arial"/>
          <w:spacing w:val="0"/>
          <w:kern w:val="0"/>
          <w:sz w:val="22"/>
          <w:szCs w:val="22"/>
        </w:rPr>
      </w:pPr>
      <w:hyperlink r:id="rId17" w:history="1">
        <w:r w:rsidR="008356EE" w:rsidRPr="00170D53">
          <w:rPr>
            <w:rStyle w:val="Hyperlink"/>
            <w:rFonts w:ascii="Arial" w:eastAsiaTheme="minorHAnsi" w:hAnsi="Arial" w:cs="Arial"/>
            <w:spacing w:val="0"/>
            <w:kern w:val="0"/>
            <w:sz w:val="22"/>
            <w:szCs w:val="22"/>
          </w:rPr>
          <w:t>Submission</w:t>
        </w:r>
      </w:hyperlink>
      <w:r w:rsidR="008356EE" w:rsidRPr="00027A9B">
        <w:rPr>
          <w:rFonts w:ascii="Arial" w:eastAsiaTheme="minorHAnsi" w:hAnsi="Arial" w:cs="Arial"/>
          <w:spacing w:val="0"/>
          <w:kern w:val="0"/>
          <w:sz w:val="22"/>
          <w:szCs w:val="22"/>
        </w:rPr>
        <w:t xml:space="preserve"> into the Inquiry into the purpose, </w:t>
      </w:r>
      <w:proofErr w:type="gramStart"/>
      <w:r w:rsidR="008356EE" w:rsidRPr="00027A9B">
        <w:rPr>
          <w:rFonts w:ascii="Arial" w:eastAsiaTheme="minorHAnsi" w:hAnsi="Arial" w:cs="Arial"/>
          <w:spacing w:val="0"/>
          <w:kern w:val="0"/>
          <w:sz w:val="22"/>
          <w:szCs w:val="22"/>
        </w:rPr>
        <w:t>intent</w:t>
      </w:r>
      <w:proofErr w:type="gramEnd"/>
      <w:r w:rsidR="008356EE" w:rsidRPr="00027A9B">
        <w:rPr>
          <w:rFonts w:ascii="Arial" w:eastAsiaTheme="minorHAnsi" w:hAnsi="Arial" w:cs="Arial"/>
          <w:spacing w:val="0"/>
          <w:kern w:val="0"/>
          <w:sz w:val="22"/>
          <w:szCs w:val="22"/>
        </w:rPr>
        <w:t xml:space="preserve"> and adequacy of the Disability Support Pension</w:t>
      </w:r>
    </w:p>
    <w:p w14:paraId="3F0C50E1" w14:textId="77777777" w:rsidR="00170D53" w:rsidRDefault="00170D53" w:rsidP="008356EE">
      <w:pPr>
        <w:pStyle w:val="Title"/>
        <w:spacing w:line="276" w:lineRule="auto"/>
        <w:rPr>
          <w:rFonts w:ascii="Arial" w:eastAsiaTheme="minorHAnsi" w:hAnsi="Arial" w:cs="Arial"/>
          <w:spacing w:val="0"/>
          <w:kern w:val="0"/>
          <w:sz w:val="22"/>
          <w:szCs w:val="22"/>
        </w:rPr>
      </w:pPr>
    </w:p>
    <w:p w14:paraId="77B8E31C" w14:textId="1BAF47A2" w:rsidR="008356EE" w:rsidRPr="00170D53" w:rsidRDefault="008356EE" w:rsidP="008356EE">
      <w:pPr>
        <w:pStyle w:val="Title"/>
        <w:spacing w:line="276" w:lineRule="auto"/>
        <w:rPr>
          <w:rFonts w:ascii="Arial" w:eastAsiaTheme="minorHAnsi" w:hAnsi="Arial" w:cs="Arial"/>
          <w:b/>
          <w:bCs/>
          <w:spacing w:val="0"/>
          <w:kern w:val="0"/>
          <w:sz w:val="22"/>
          <w:szCs w:val="22"/>
        </w:rPr>
      </w:pPr>
      <w:r w:rsidRPr="00170D53">
        <w:rPr>
          <w:rFonts w:ascii="Arial" w:eastAsiaTheme="minorHAnsi" w:hAnsi="Arial" w:cs="Arial"/>
          <w:b/>
          <w:bCs/>
          <w:spacing w:val="0"/>
          <w:kern w:val="0"/>
          <w:sz w:val="22"/>
          <w:szCs w:val="22"/>
        </w:rPr>
        <w:t xml:space="preserve">CYDA’s work on </w:t>
      </w:r>
      <w:r w:rsidR="00EC6ADC">
        <w:rPr>
          <w:rFonts w:ascii="Arial" w:eastAsiaTheme="minorHAnsi" w:hAnsi="Arial" w:cs="Arial"/>
          <w:b/>
          <w:bCs/>
          <w:spacing w:val="0"/>
          <w:kern w:val="0"/>
          <w:sz w:val="22"/>
          <w:szCs w:val="22"/>
        </w:rPr>
        <w:t xml:space="preserve">poverty, </w:t>
      </w:r>
      <w:r w:rsidRPr="00170D53">
        <w:rPr>
          <w:rFonts w:ascii="Arial" w:eastAsiaTheme="minorHAnsi" w:hAnsi="Arial" w:cs="Arial"/>
          <w:b/>
          <w:bCs/>
          <w:spacing w:val="0"/>
          <w:kern w:val="0"/>
          <w:sz w:val="22"/>
          <w:szCs w:val="22"/>
        </w:rPr>
        <w:t xml:space="preserve">employment and financial </w:t>
      </w:r>
      <w:proofErr w:type="gramStart"/>
      <w:r w:rsidRPr="00170D53">
        <w:rPr>
          <w:rFonts w:ascii="Arial" w:eastAsiaTheme="minorHAnsi" w:hAnsi="Arial" w:cs="Arial"/>
          <w:b/>
          <w:bCs/>
          <w:spacing w:val="0"/>
          <w:kern w:val="0"/>
          <w:sz w:val="22"/>
          <w:szCs w:val="22"/>
        </w:rPr>
        <w:t>security</w:t>
      </w:r>
      <w:proofErr w:type="gramEnd"/>
    </w:p>
    <w:p w14:paraId="1151FD54" w14:textId="23253C69" w:rsidR="00EC6ADC" w:rsidRPr="00897765" w:rsidRDefault="006427F9" w:rsidP="00897765">
      <w:pPr>
        <w:pStyle w:val="Title"/>
        <w:numPr>
          <w:ilvl w:val="0"/>
          <w:numId w:val="20"/>
        </w:numPr>
        <w:spacing w:line="276" w:lineRule="auto"/>
        <w:rPr>
          <w:rFonts w:ascii="Arial" w:hAnsi="Arial" w:cs="Arial"/>
          <w:sz w:val="22"/>
          <w:szCs w:val="22"/>
        </w:rPr>
      </w:pPr>
      <w:hyperlink r:id="rId18" w:history="1">
        <w:r w:rsidR="00897765" w:rsidRPr="00897765">
          <w:rPr>
            <w:rStyle w:val="Hyperlink"/>
            <w:rFonts w:ascii="Arial" w:eastAsiaTheme="minorHAnsi" w:hAnsi="Arial" w:cs="Arial"/>
            <w:spacing w:val="0"/>
            <w:kern w:val="0"/>
            <w:sz w:val="22"/>
            <w:szCs w:val="22"/>
          </w:rPr>
          <w:t>Response</w:t>
        </w:r>
      </w:hyperlink>
      <w:r w:rsidR="00897765" w:rsidRPr="00897765">
        <w:rPr>
          <w:rFonts w:ascii="Arial" w:eastAsiaTheme="minorHAnsi" w:hAnsi="Arial" w:cs="Arial"/>
          <w:spacing w:val="0"/>
          <w:kern w:val="0"/>
          <w:sz w:val="22"/>
          <w:szCs w:val="22"/>
        </w:rPr>
        <w:t xml:space="preserve"> to the Senate Inquiry into: The extent and nature of poverty in Australia</w:t>
      </w:r>
    </w:p>
    <w:p w14:paraId="0AED94D9" w14:textId="23F39349" w:rsidR="008356EE" w:rsidRPr="008356EE" w:rsidRDefault="008356EE" w:rsidP="00B53FE3">
      <w:pPr>
        <w:pStyle w:val="Title"/>
        <w:numPr>
          <w:ilvl w:val="0"/>
          <w:numId w:val="20"/>
        </w:numPr>
        <w:spacing w:line="276" w:lineRule="auto"/>
        <w:rPr>
          <w:rFonts w:ascii="Arial" w:eastAsiaTheme="minorHAnsi" w:hAnsi="Arial" w:cs="Arial"/>
          <w:spacing w:val="0"/>
          <w:kern w:val="0"/>
          <w:sz w:val="22"/>
          <w:szCs w:val="22"/>
        </w:rPr>
      </w:pPr>
      <w:r w:rsidRPr="008356EE">
        <w:rPr>
          <w:rFonts w:ascii="Arial" w:eastAsiaTheme="minorHAnsi" w:hAnsi="Arial" w:cs="Arial"/>
          <w:spacing w:val="0"/>
          <w:kern w:val="0"/>
          <w:sz w:val="22"/>
          <w:szCs w:val="22"/>
        </w:rPr>
        <w:t xml:space="preserve">‘What young people said’ </w:t>
      </w:r>
      <w:hyperlink r:id="rId19" w:history="1">
        <w:r w:rsidRPr="00E63093">
          <w:rPr>
            <w:rStyle w:val="Hyperlink"/>
            <w:rFonts w:ascii="Arial" w:eastAsiaTheme="minorHAnsi" w:hAnsi="Arial" w:cs="Arial"/>
            <w:spacing w:val="0"/>
            <w:kern w:val="0"/>
            <w:sz w:val="22"/>
            <w:szCs w:val="22"/>
          </w:rPr>
          <w:t>Policy paper</w:t>
        </w:r>
      </w:hyperlink>
      <w:r w:rsidRPr="008356EE">
        <w:rPr>
          <w:rFonts w:ascii="Arial" w:eastAsiaTheme="minorHAnsi" w:hAnsi="Arial" w:cs="Arial"/>
          <w:spacing w:val="0"/>
          <w:kern w:val="0"/>
          <w:sz w:val="22"/>
          <w:szCs w:val="22"/>
        </w:rPr>
        <w:t xml:space="preserve"> - Financial security and employment</w:t>
      </w:r>
    </w:p>
    <w:p w14:paraId="17BFF315" w14:textId="1FEE330E" w:rsidR="008356EE" w:rsidRPr="008356EE" w:rsidRDefault="006427F9" w:rsidP="00437576">
      <w:pPr>
        <w:pStyle w:val="Title"/>
        <w:numPr>
          <w:ilvl w:val="0"/>
          <w:numId w:val="20"/>
        </w:numPr>
        <w:spacing w:line="276" w:lineRule="auto"/>
        <w:rPr>
          <w:rFonts w:ascii="Arial" w:eastAsiaTheme="minorHAnsi" w:hAnsi="Arial" w:cs="Arial"/>
          <w:spacing w:val="0"/>
          <w:kern w:val="0"/>
          <w:sz w:val="22"/>
          <w:szCs w:val="22"/>
        </w:rPr>
      </w:pPr>
      <w:hyperlink r:id="rId20" w:history="1">
        <w:r w:rsidR="008356EE" w:rsidRPr="00437576">
          <w:rPr>
            <w:rStyle w:val="Hyperlink"/>
            <w:rFonts w:ascii="Arial" w:eastAsiaTheme="minorHAnsi" w:hAnsi="Arial" w:cs="Arial"/>
            <w:spacing w:val="0"/>
            <w:kern w:val="0"/>
            <w:sz w:val="22"/>
            <w:szCs w:val="22"/>
          </w:rPr>
          <w:t>Submission</w:t>
        </w:r>
      </w:hyperlink>
      <w:r w:rsidR="008356EE" w:rsidRPr="008356EE">
        <w:rPr>
          <w:rFonts w:ascii="Arial" w:eastAsiaTheme="minorHAnsi" w:hAnsi="Arial" w:cs="Arial"/>
          <w:spacing w:val="0"/>
          <w:kern w:val="0"/>
          <w:sz w:val="22"/>
          <w:szCs w:val="22"/>
        </w:rPr>
        <w:t xml:space="preserve"> to the Senate Select Committee on Job Security Young people with disability and job insecurity</w:t>
      </w:r>
    </w:p>
    <w:p w14:paraId="005CA97B" w14:textId="64BCA3E3" w:rsidR="008B28EA" w:rsidRPr="008356EE" w:rsidRDefault="008B28EA" w:rsidP="008356EE">
      <w:pPr>
        <w:pStyle w:val="Title"/>
        <w:spacing w:line="276" w:lineRule="auto"/>
        <w:rPr>
          <w:rFonts w:ascii="Arial" w:eastAsiaTheme="minorHAnsi" w:hAnsi="Arial" w:cs="Arial"/>
          <w:spacing w:val="0"/>
          <w:kern w:val="0"/>
          <w:sz w:val="22"/>
          <w:szCs w:val="22"/>
        </w:rPr>
      </w:pPr>
    </w:p>
    <w:p w14:paraId="031F095A" w14:textId="77777777" w:rsidR="00F000FF" w:rsidRPr="008B67E9" w:rsidRDefault="00F000FF" w:rsidP="008B67E9">
      <w:pPr>
        <w:tabs>
          <w:tab w:val="left" w:pos="5104"/>
        </w:tabs>
        <w:spacing w:line="276" w:lineRule="auto"/>
        <w:rPr>
          <w:rFonts w:ascii="Arial" w:hAnsi="Arial" w:cs="Arial"/>
          <w:sz w:val="22"/>
          <w:szCs w:val="22"/>
        </w:rPr>
      </w:pPr>
    </w:p>
    <w:sectPr w:rsidR="00F000FF" w:rsidRPr="008B67E9" w:rsidSect="00000178">
      <w:footerReference w:type="default" r:id="rId21"/>
      <w:headerReference w:type="first" r:id="rId22"/>
      <w:footerReference w:type="first" r:id="rId23"/>
      <w:endnotePr>
        <w:numFmt w:val="decimal"/>
      </w:endnotePr>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65C9" w14:textId="77777777" w:rsidR="007852D1" w:rsidRDefault="007852D1" w:rsidP="00F000FF">
      <w:r>
        <w:separator/>
      </w:r>
    </w:p>
  </w:endnote>
  <w:endnote w:type="continuationSeparator" w:id="0">
    <w:p w14:paraId="572757EC" w14:textId="77777777" w:rsidR="007852D1" w:rsidRDefault="007852D1" w:rsidP="00F000FF">
      <w:r>
        <w:continuationSeparator/>
      </w:r>
    </w:p>
  </w:endnote>
  <w:endnote w:type="continuationNotice" w:id="1">
    <w:p w14:paraId="0556C9EF" w14:textId="77777777" w:rsidR="007852D1" w:rsidRDefault="00785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DD26" w14:textId="77777777" w:rsidR="003C1E51" w:rsidRDefault="003C1E51">
    <w:pPr>
      <w:pStyle w:val="Footer"/>
    </w:pPr>
    <w:r>
      <w:rPr>
        <w:noProof/>
        <w:lang w:eastAsia="en-AU"/>
      </w:rPr>
      <w:drawing>
        <wp:anchor distT="0" distB="0" distL="114300" distR="114300" simplePos="0" relativeHeight="251658245" behindDoc="1" locked="0" layoutInCell="1" allowOverlap="1" wp14:anchorId="031F0962" wp14:editId="031F0963">
          <wp:simplePos x="0" y="0"/>
          <wp:positionH relativeFrom="column">
            <wp:posOffset>-902280</wp:posOffset>
          </wp:positionH>
          <wp:positionV relativeFrom="paragraph">
            <wp:posOffset>-398352</wp:posOffset>
          </wp:positionV>
          <wp:extent cx="7532370" cy="1022131"/>
          <wp:effectExtent l="0" t="0" r="0" b="0"/>
          <wp:wrapNone/>
          <wp:docPr id="855249270" name="Picture 85524927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DA-footer.png"/>
                  <pic:cNvPicPr/>
                </pic:nvPicPr>
                <pic:blipFill>
                  <a:blip r:embed="rId1">
                    <a:extLst>
                      <a:ext uri="{28A0092B-C50C-407E-A947-70E740481C1C}">
                        <a14:useLocalDpi xmlns:a14="http://schemas.microsoft.com/office/drawing/2010/main" val="0"/>
                      </a:ext>
                    </a:extLst>
                  </a:blip>
                  <a:stretch>
                    <a:fillRect/>
                  </a:stretch>
                </pic:blipFill>
                <pic:spPr>
                  <a:xfrm>
                    <a:off x="0" y="0"/>
                    <a:ext cx="7532370" cy="102213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0603" w14:textId="77777777" w:rsidR="003C1E51" w:rsidRDefault="003C1E51">
    <w:pPr>
      <w:pStyle w:val="Footer"/>
    </w:pPr>
    <w:r>
      <w:rPr>
        <w:noProof/>
        <w:lang w:eastAsia="en-AU"/>
      </w:rPr>
      <w:drawing>
        <wp:anchor distT="0" distB="0" distL="114300" distR="114300" simplePos="0" relativeHeight="251658244" behindDoc="1" locked="0" layoutInCell="1" allowOverlap="1" wp14:anchorId="031F0966" wp14:editId="031F0967">
          <wp:simplePos x="0" y="0"/>
          <wp:positionH relativeFrom="column">
            <wp:posOffset>-905347</wp:posOffset>
          </wp:positionH>
          <wp:positionV relativeFrom="paragraph">
            <wp:posOffset>-380058</wp:posOffset>
          </wp:positionV>
          <wp:extent cx="7532370" cy="1022131"/>
          <wp:effectExtent l="0" t="0" r="0" b="0"/>
          <wp:wrapNone/>
          <wp:docPr id="2129201048" name="Picture 212920104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DA-footer.png"/>
                  <pic:cNvPicPr/>
                </pic:nvPicPr>
                <pic:blipFill>
                  <a:blip r:embed="rId1">
                    <a:extLst>
                      <a:ext uri="{28A0092B-C50C-407E-A947-70E740481C1C}">
                        <a14:useLocalDpi xmlns:a14="http://schemas.microsoft.com/office/drawing/2010/main" val="0"/>
                      </a:ext>
                    </a:extLst>
                  </a:blip>
                  <a:stretch>
                    <a:fillRect/>
                  </a:stretch>
                </pic:blipFill>
                <pic:spPr>
                  <a:xfrm>
                    <a:off x="0" y="0"/>
                    <a:ext cx="7618294" cy="103379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095F" w14:textId="77777777" w:rsidR="00F000FF" w:rsidRDefault="00F000FF">
    <w:pPr>
      <w:pStyle w:val="Footer"/>
    </w:pPr>
    <w:r>
      <w:rPr>
        <w:noProof/>
        <w:lang w:eastAsia="en-AU"/>
      </w:rPr>
      <w:drawing>
        <wp:anchor distT="0" distB="0" distL="114300" distR="114300" simplePos="0" relativeHeight="251658242" behindDoc="1" locked="0" layoutInCell="1" allowOverlap="1" wp14:anchorId="031F0962" wp14:editId="031F0963">
          <wp:simplePos x="0" y="0"/>
          <wp:positionH relativeFrom="column">
            <wp:posOffset>-902280</wp:posOffset>
          </wp:positionH>
          <wp:positionV relativeFrom="paragraph">
            <wp:posOffset>-398352</wp:posOffset>
          </wp:positionV>
          <wp:extent cx="7532370" cy="1022131"/>
          <wp:effectExtent l="0" t="0" r="0" b="0"/>
          <wp:wrapNone/>
          <wp:docPr id="1756317239" name="Picture 175631723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DA-footer.png"/>
                  <pic:cNvPicPr/>
                </pic:nvPicPr>
                <pic:blipFill>
                  <a:blip r:embed="rId1">
                    <a:extLst>
                      <a:ext uri="{28A0092B-C50C-407E-A947-70E740481C1C}">
                        <a14:useLocalDpi xmlns:a14="http://schemas.microsoft.com/office/drawing/2010/main" val="0"/>
                      </a:ext>
                    </a:extLst>
                  </a:blip>
                  <a:stretch>
                    <a:fillRect/>
                  </a:stretch>
                </pic:blipFill>
                <pic:spPr>
                  <a:xfrm>
                    <a:off x="0" y="0"/>
                    <a:ext cx="7532370" cy="1022131"/>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0961" w14:textId="77777777" w:rsidR="00F000FF" w:rsidRDefault="00F000FF">
    <w:pPr>
      <w:pStyle w:val="Footer"/>
    </w:pPr>
    <w:r>
      <w:rPr>
        <w:noProof/>
        <w:lang w:eastAsia="en-AU"/>
      </w:rPr>
      <w:drawing>
        <wp:anchor distT="0" distB="0" distL="114300" distR="114300" simplePos="0" relativeHeight="251658241" behindDoc="1" locked="0" layoutInCell="1" allowOverlap="1" wp14:anchorId="031F0966" wp14:editId="031F0967">
          <wp:simplePos x="0" y="0"/>
          <wp:positionH relativeFrom="column">
            <wp:posOffset>-905347</wp:posOffset>
          </wp:positionH>
          <wp:positionV relativeFrom="paragraph">
            <wp:posOffset>-380058</wp:posOffset>
          </wp:positionV>
          <wp:extent cx="7532370" cy="1022131"/>
          <wp:effectExtent l="0" t="0" r="0" b="0"/>
          <wp:wrapNone/>
          <wp:docPr id="1761971459" name="Picture 176197145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DA-footer.png"/>
                  <pic:cNvPicPr/>
                </pic:nvPicPr>
                <pic:blipFill>
                  <a:blip r:embed="rId1">
                    <a:extLst>
                      <a:ext uri="{28A0092B-C50C-407E-A947-70E740481C1C}">
                        <a14:useLocalDpi xmlns:a14="http://schemas.microsoft.com/office/drawing/2010/main" val="0"/>
                      </a:ext>
                    </a:extLst>
                  </a:blip>
                  <a:stretch>
                    <a:fillRect/>
                  </a:stretch>
                </pic:blipFill>
                <pic:spPr>
                  <a:xfrm>
                    <a:off x="0" y="0"/>
                    <a:ext cx="7618294" cy="10337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5CF9" w14:textId="77777777" w:rsidR="007852D1" w:rsidRDefault="007852D1" w:rsidP="00F000FF">
      <w:r>
        <w:separator/>
      </w:r>
    </w:p>
  </w:footnote>
  <w:footnote w:type="continuationSeparator" w:id="0">
    <w:p w14:paraId="7E57F6B2" w14:textId="77777777" w:rsidR="007852D1" w:rsidRDefault="007852D1" w:rsidP="00F000FF">
      <w:r>
        <w:continuationSeparator/>
      </w:r>
    </w:p>
  </w:footnote>
  <w:footnote w:type="continuationNotice" w:id="1">
    <w:p w14:paraId="0B3DA7D8" w14:textId="77777777" w:rsidR="007852D1" w:rsidRDefault="007852D1"/>
  </w:footnote>
  <w:footnote w:id="2">
    <w:p w14:paraId="5F48A779" w14:textId="77777777" w:rsidR="003C1E51" w:rsidRPr="005C2DF8" w:rsidRDefault="003C1E51" w:rsidP="00D63F15">
      <w:pPr>
        <w:pStyle w:val="FootnoteText"/>
        <w:rPr>
          <w:rFonts w:ascii="Arial" w:hAnsi="Arial" w:cs="Arial"/>
          <w:sz w:val="16"/>
          <w:szCs w:val="16"/>
          <w:lang w:val="en-US"/>
        </w:rPr>
      </w:pPr>
      <w:r w:rsidRPr="00925536">
        <w:rPr>
          <w:rStyle w:val="FootnoteReference"/>
          <w:rFonts w:ascii="Arial" w:hAnsi="Arial" w:cs="Arial"/>
        </w:rPr>
        <w:footnoteRef/>
      </w:r>
      <w:r w:rsidRPr="00925536">
        <w:rPr>
          <w:rFonts w:ascii="Arial" w:hAnsi="Arial" w:cs="Arial"/>
        </w:rPr>
        <w:t xml:space="preserve"> </w:t>
      </w:r>
      <w:r w:rsidRPr="005C2DF8">
        <w:rPr>
          <w:rFonts w:ascii="Arial" w:hAnsi="Arial" w:cs="Arial"/>
          <w:sz w:val="16"/>
          <w:szCs w:val="16"/>
        </w:rPr>
        <w:t xml:space="preserve">Kavanagh, A. Et al. (2013) </w:t>
      </w:r>
      <w:r w:rsidRPr="005C2DF8">
        <w:rPr>
          <w:rFonts w:ascii="Arial" w:hAnsi="Arial" w:cs="Arial"/>
          <w:i/>
          <w:iCs/>
          <w:sz w:val="16"/>
          <w:szCs w:val="16"/>
        </w:rPr>
        <w:t>Time trends in socio-economic inequalities for women and men with disabilities in Australia: evidence of persisting inequalities</w:t>
      </w:r>
      <w:r w:rsidRPr="005C2DF8">
        <w:rPr>
          <w:rFonts w:ascii="Arial" w:hAnsi="Arial" w:cs="Arial"/>
          <w:sz w:val="16"/>
          <w:szCs w:val="16"/>
        </w:rPr>
        <w:t xml:space="preserve">. International Journal of Equity in Health, 12:73.  </w:t>
      </w:r>
    </w:p>
  </w:footnote>
  <w:footnote w:id="3">
    <w:p w14:paraId="15904973" w14:textId="793910F5" w:rsidR="003C1E51" w:rsidRPr="005C2DF8" w:rsidRDefault="003C1E51">
      <w:pPr>
        <w:pStyle w:val="FootnoteText"/>
        <w:rPr>
          <w:sz w:val="16"/>
          <w:szCs w:val="16"/>
          <w:lang w:val="en-US"/>
        </w:rPr>
      </w:pPr>
      <w:r w:rsidRPr="005C2DF8">
        <w:rPr>
          <w:rStyle w:val="FootnoteReference"/>
          <w:sz w:val="16"/>
          <w:szCs w:val="16"/>
        </w:rPr>
        <w:footnoteRef/>
      </w:r>
      <w:r w:rsidRPr="005C2DF8">
        <w:rPr>
          <w:sz w:val="16"/>
          <w:szCs w:val="16"/>
        </w:rPr>
        <w:t xml:space="preserve"> </w:t>
      </w:r>
      <w:r w:rsidRPr="005C2DF8">
        <w:rPr>
          <w:rFonts w:ascii="Arial" w:hAnsi="Arial" w:cs="Arial"/>
          <w:sz w:val="16"/>
          <w:szCs w:val="16"/>
        </w:rPr>
        <w:t xml:space="preserve">Anglicare Australia (2023) Rental affordability snapshot national report 2023 \ Fourteenth edition, </w:t>
      </w:r>
      <w:hyperlink r:id="rId1" w:history="1">
        <w:r w:rsidRPr="005C2DF8">
          <w:rPr>
            <w:rStyle w:val="Hyperlink"/>
            <w:rFonts w:ascii="Arial" w:hAnsi="Arial" w:cs="Arial"/>
            <w:sz w:val="16"/>
            <w:szCs w:val="16"/>
          </w:rPr>
          <w:t>https://www.anglicare.asn.au/wp-content/uploads/2023/04/Rental-Affordability-Snapshot-National-Report.pdf</w:t>
        </w:r>
      </w:hyperlink>
    </w:p>
  </w:footnote>
  <w:footnote w:id="4">
    <w:p w14:paraId="76EF2DC3" w14:textId="05978B2E" w:rsidR="003C1E51" w:rsidRPr="005C2DF8" w:rsidRDefault="003C1E51">
      <w:pPr>
        <w:pStyle w:val="FootnoteText"/>
        <w:rPr>
          <w:rFonts w:ascii="Arial" w:hAnsi="Arial" w:cs="Arial"/>
          <w:sz w:val="16"/>
          <w:szCs w:val="16"/>
          <w:lang w:val="en-US"/>
        </w:rPr>
      </w:pPr>
      <w:r w:rsidRPr="005C2DF8">
        <w:rPr>
          <w:rStyle w:val="FootnoteReference"/>
          <w:rFonts w:ascii="Arial" w:hAnsi="Arial" w:cs="Arial"/>
          <w:sz w:val="16"/>
          <w:szCs w:val="16"/>
        </w:rPr>
        <w:footnoteRef/>
      </w:r>
      <w:r w:rsidRPr="005C2DF8">
        <w:rPr>
          <w:rFonts w:ascii="Arial" w:hAnsi="Arial" w:cs="Arial"/>
          <w:sz w:val="16"/>
          <w:szCs w:val="16"/>
        </w:rPr>
        <w:t xml:space="preserve"> CYDA (2023) Children and Young People with Disability Australia’s response to the Senate Inquiry into: The extent and nature of poverty in Australia  </w:t>
      </w:r>
      <w:hyperlink r:id="rId2" w:history="1">
        <w:r w:rsidRPr="005C2DF8">
          <w:rPr>
            <w:rStyle w:val="Hyperlink"/>
            <w:rFonts w:ascii="Arial" w:hAnsi="Arial" w:cs="Arial"/>
            <w:sz w:val="16"/>
            <w:szCs w:val="16"/>
          </w:rPr>
          <w:t>https://www.cyda.org.au/search/details/374/cyda-s-submission-to-the-senate-inquiry-into-the-extent-and-nature-of-poverty</w:t>
        </w:r>
      </w:hyperlink>
      <w:r w:rsidRPr="005C2DF8">
        <w:rPr>
          <w:rFonts w:ascii="Arial" w:hAnsi="Arial" w:cs="Arial"/>
          <w:sz w:val="16"/>
          <w:szCs w:val="16"/>
        </w:rPr>
        <w:t xml:space="preserve"> </w:t>
      </w:r>
    </w:p>
  </w:footnote>
  <w:footnote w:id="5">
    <w:p w14:paraId="44ECE196" w14:textId="0445327E" w:rsidR="003C1E51" w:rsidRPr="005C2DF8" w:rsidRDefault="003C1E51">
      <w:pPr>
        <w:pStyle w:val="FootnoteText"/>
        <w:rPr>
          <w:rFonts w:ascii="Arial" w:hAnsi="Arial" w:cs="Arial"/>
          <w:sz w:val="16"/>
          <w:szCs w:val="16"/>
          <w:lang w:val="en-US"/>
        </w:rPr>
      </w:pPr>
      <w:r w:rsidRPr="005C2DF8">
        <w:rPr>
          <w:rStyle w:val="FootnoteReference"/>
          <w:rFonts w:ascii="Arial" w:hAnsi="Arial" w:cs="Arial"/>
          <w:sz w:val="16"/>
          <w:szCs w:val="16"/>
        </w:rPr>
        <w:footnoteRef/>
      </w:r>
      <w:r w:rsidRPr="005C2DF8">
        <w:rPr>
          <w:rFonts w:ascii="Arial" w:hAnsi="Arial" w:cs="Arial"/>
          <w:sz w:val="16"/>
          <w:szCs w:val="16"/>
        </w:rPr>
        <w:t xml:space="preserve"> Ibid  </w:t>
      </w:r>
    </w:p>
  </w:footnote>
  <w:footnote w:id="6">
    <w:p w14:paraId="1A3B62BF" w14:textId="2E381D8E" w:rsidR="003C1E51" w:rsidRPr="005C2DF8" w:rsidRDefault="003C1E51">
      <w:pPr>
        <w:pStyle w:val="FootnoteText"/>
        <w:rPr>
          <w:rFonts w:ascii="Arial" w:hAnsi="Arial" w:cs="Arial"/>
          <w:sz w:val="16"/>
          <w:szCs w:val="16"/>
        </w:rPr>
      </w:pPr>
      <w:r w:rsidRPr="005C2DF8">
        <w:rPr>
          <w:rStyle w:val="FootnoteReference"/>
          <w:rFonts w:ascii="Arial" w:hAnsi="Arial" w:cs="Arial"/>
          <w:sz w:val="16"/>
          <w:szCs w:val="16"/>
        </w:rPr>
        <w:footnoteRef/>
      </w:r>
      <w:r w:rsidRPr="005C2DF8">
        <w:rPr>
          <w:rFonts w:ascii="Arial" w:hAnsi="Arial" w:cs="Arial"/>
          <w:sz w:val="16"/>
          <w:szCs w:val="16"/>
        </w:rPr>
        <w:t xml:space="preserve"> Aitken, Z. Et al. (2019) </w:t>
      </w:r>
      <w:r w:rsidRPr="005C2DF8">
        <w:rPr>
          <w:rFonts w:ascii="Arial" w:hAnsi="Arial" w:cs="Arial"/>
          <w:i/>
          <w:iCs/>
          <w:sz w:val="16"/>
          <w:szCs w:val="16"/>
        </w:rPr>
        <w:t>Precariously placed: housing affordability, quality and satisfaction of Australians with disabilities</w:t>
      </w:r>
      <w:r w:rsidRPr="005C2DF8">
        <w:rPr>
          <w:rFonts w:ascii="Arial" w:hAnsi="Arial" w:cs="Arial"/>
          <w:sz w:val="16"/>
          <w:szCs w:val="16"/>
        </w:rPr>
        <w:t>, Disability &amp; Society, 34:1, 121 -142, </w:t>
      </w:r>
      <w:r w:rsidRPr="005C2DF8">
        <w:rPr>
          <w:rFonts w:ascii="Arial" w:hAnsi="Arial" w:cs="Arial"/>
          <w:sz w:val="16"/>
          <w:szCs w:val="16"/>
        </w:rPr>
        <w:br/>
        <w:t>DOI: </w:t>
      </w:r>
      <w:hyperlink r:id="rId3" w:history="1">
        <w:r w:rsidRPr="005C2DF8">
          <w:rPr>
            <w:rStyle w:val="Hyperlink"/>
            <w:rFonts w:ascii="Arial" w:hAnsi="Arial" w:cs="Arial"/>
            <w:sz w:val="16"/>
            <w:szCs w:val="16"/>
          </w:rPr>
          <w:t>10.1080/09687599.2018.1521333</w:t>
        </w:r>
      </w:hyperlink>
    </w:p>
  </w:footnote>
  <w:footnote w:id="7">
    <w:p w14:paraId="1B5B7EBB" w14:textId="56E50469" w:rsidR="003C1E51" w:rsidRPr="005C2DF8" w:rsidRDefault="003C1E51">
      <w:pPr>
        <w:pStyle w:val="FootnoteText"/>
        <w:rPr>
          <w:rFonts w:ascii="Arial" w:hAnsi="Arial" w:cs="Arial"/>
          <w:sz w:val="16"/>
          <w:szCs w:val="16"/>
          <w:lang w:val="en-US"/>
        </w:rPr>
      </w:pPr>
      <w:r w:rsidRPr="005C2DF8">
        <w:rPr>
          <w:rStyle w:val="FootnoteReference"/>
          <w:rFonts w:ascii="Arial" w:hAnsi="Arial" w:cs="Arial"/>
          <w:sz w:val="16"/>
          <w:szCs w:val="16"/>
        </w:rPr>
        <w:footnoteRef/>
      </w:r>
      <w:r w:rsidRPr="005C2DF8">
        <w:rPr>
          <w:rFonts w:ascii="Arial" w:hAnsi="Arial" w:cs="Arial"/>
          <w:sz w:val="16"/>
          <w:szCs w:val="16"/>
        </w:rPr>
        <w:t xml:space="preserve"> </w:t>
      </w:r>
      <w:bookmarkStart w:id="2" w:name="_Hlk141803358"/>
      <w:r w:rsidRPr="005C2DF8">
        <w:rPr>
          <w:rFonts w:ascii="Arial" w:hAnsi="Arial" w:cs="Arial"/>
          <w:sz w:val="16"/>
          <w:szCs w:val="16"/>
        </w:rPr>
        <w:t xml:space="preserve">Anglicare Australia (2023) Rental affordability snapshot national report 2023 \ Fourteenth edition, page 7-8 </w:t>
      </w:r>
      <w:hyperlink r:id="rId4" w:history="1">
        <w:r w:rsidRPr="005C2DF8">
          <w:rPr>
            <w:rStyle w:val="Hyperlink"/>
            <w:rFonts w:ascii="Arial" w:hAnsi="Arial" w:cs="Arial"/>
            <w:sz w:val="16"/>
            <w:szCs w:val="16"/>
          </w:rPr>
          <w:t>https://www.anglicare.asn.au/wp-content/uploads/2023/04/Rental-Affordability-Snapshot-National-Report.pdf</w:t>
        </w:r>
      </w:hyperlink>
      <w:r w:rsidRPr="005C2DF8">
        <w:rPr>
          <w:rFonts w:ascii="Arial" w:hAnsi="Arial" w:cs="Arial"/>
          <w:sz w:val="16"/>
          <w:szCs w:val="16"/>
        </w:rPr>
        <w:t xml:space="preserve"> </w:t>
      </w:r>
    </w:p>
    <w:bookmarkEnd w:id="2"/>
  </w:footnote>
  <w:footnote w:id="8">
    <w:p w14:paraId="4C2A9F6E" w14:textId="0D85330E" w:rsidR="003C1E51" w:rsidRPr="005C2DF8" w:rsidRDefault="003C1E51">
      <w:pPr>
        <w:pStyle w:val="FootnoteText"/>
        <w:rPr>
          <w:rFonts w:ascii="Arial" w:hAnsi="Arial" w:cs="Arial"/>
          <w:sz w:val="16"/>
          <w:szCs w:val="16"/>
          <w:lang w:val="en-US"/>
        </w:rPr>
      </w:pPr>
      <w:r w:rsidRPr="005C2DF8">
        <w:rPr>
          <w:rStyle w:val="FootnoteReference"/>
          <w:rFonts w:ascii="Arial" w:hAnsi="Arial" w:cs="Arial"/>
          <w:sz w:val="16"/>
          <w:szCs w:val="16"/>
        </w:rPr>
        <w:footnoteRef/>
      </w:r>
      <w:r w:rsidRPr="005C2DF8">
        <w:rPr>
          <w:rFonts w:ascii="Arial" w:hAnsi="Arial" w:cs="Arial"/>
          <w:sz w:val="16"/>
          <w:szCs w:val="16"/>
        </w:rPr>
        <w:t xml:space="preserve"> Ibid</w:t>
      </w:r>
    </w:p>
  </w:footnote>
  <w:footnote w:id="9">
    <w:p w14:paraId="6F8FA542" w14:textId="16936308" w:rsidR="003C1E51" w:rsidRPr="005C2DF8" w:rsidRDefault="003C1E51">
      <w:pPr>
        <w:pStyle w:val="FootnoteText"/>
        <w:rPr>
          <w:rFonts w:ascii="Arial" w:hAnsi="Arial" w:cs="Arial"/>
          <w:sz w:val="16"/>
          <w:szCs w:val="16"/>
          <w:lang w:val="en-US"/>
        </w:rPr>
      </w:pPr>
      <w:r w:rsidRPr="00925536">
        <w:rPr>
          <w:rStyle w:val="FootnoteReference"/>
          <w:rFonts w:ascii="Arial" w:hAnsi="Arial" w:cs="Arial"/>
        </w:rPr>
        <w:footnoteRef/>
      </w:r>
      <w:r w:rsidRPr="00925536">
        <w:rPr>
          <w:rFonts w:ascii="Arial" w:hAnsi="Arial" w:cs="Arial"/>
        </w:rPr>
        <w:t xml:space="preserve"> </w:t>
      </w:r>
      <w:r w:rsidRPr="005C2DF8">
        <w:rPr>
          <w:rFonts w:ascii="Arial" w:hAnsi="Arial" w:cs="Arial"/>
          <w:sz w:val="16"/>
          <w:szCs w:val="16"/>
        </w:rPr>
        <w:t xml:space="preserve">Australian Bureau of Statistics (2021) Estimating Homelessness: Census </w:t>
      </w:r>
      <w:hyperlink r:id="rId5" w:history="1">
        <w:r w:rsidRPr="005C2DF8">
          <w:rPr>
            <w:rStyle w:val="Hyperlink"/>
            <w:rFonts w:ascii="Arial" w:hAnsi="Arial" w:cs="Arial"/>
            <w:sz w:val="16"/>
            <w:szCs w:val="16"/>
          </w:rPr>
          <w:t>Estimating Homelessness: Census, 2021 | Australian Bureau of Statistics (abs.gov.au)</w:t>
        </w:r>
      </w:hyperlink>
      <w:r w:rsidRPr="005C2DF8">
        <w:rPr>
          <w:rFonts w:ascii="Arial" w:hAnsi="Arial" w:cs="Arial"/>
          <w:sz w:val="16"/>
          <w:szCs w:val="16"/>
        </w:rPr>
        <w:t xml:space="preserve"> </w:t>
      </w:r>
    </w:p>
  </w:footnote>
  <w:footnote w:id="10">
    <w:p w14:paraId="182B7A8D" w14:textId="0DBD5F7D" w:rsidR="003C1E51" w:rsidRPr="005C2DF8" w:rsidRDefault="003C1E51">
      <w:pPr>
        <w:pStyle w:val="FootnoteText"/>
        <w:rPr>
          <w:rFonts w:ascii="Arial" w:hAnsi="Arial" w:cs="Arial"/>
          <w:sz w:val="16"/>
          <w:szCs w:val="16"/>
          <w:lang w:val="en-US"/>
        </w:rPr>
      </w:pPr>
      <w:r w:rsidRPr="005C2DF8">
        <w:rPr>
          <w:rStyle w:val="FootnoteReference"/>
          <w:rFonts w:ascii="Arial" w:hAnsi="Arial" w:cs="Arial"/>
          <w:sz w:val="16"/>
          <w:szCs w:val="16"/>
        </w:rPr>
        <w:footnoteRef/>
      </w:r>
      <w:r w:rsidRPr="005C2DF8">
        <w:rPr>
          <w:rFonts w:ascii="Arial" w:hAnsi="Arial" w:cs="Arial"/>
          <w:sz w:val="16"/>
          <w:szCs w:val="16"/>
        </w:rPr>
        <w:t xml:space="preserve"> Australian Human Rights Commission (2022) Accessible Housing Project</w:t>
      </w:r>
      <w:r w:rsidRPr="005C2DF8">
        <w:rPr>
          <w:rFonts w:ascii="Arial" w:hAnsi="Arial" w:cs="Arial"/>
          <w:sz w:val="16"/>
          <w:szCs w:val="16"/>
          <w:lang w:val="en-US"/>
        </w:rPr>
        <w:t xml:space="preserve"> </w:t>
      </w:r>
      <w:hyperlink r:id="rId6" w:history="1">
        <w:r w:rsidRPr="005C2DF8">
          <w:rPr>
            <w:rStyle w:val="Hyperlink"/>
            <w:rFonts w:ascii="Arial" w:hAnsi="Arial" w:cs="Arial"/>
            <w:sz w:val="16"/>
            <w:szCs w:val="16"/>
          </w:rPr>
          <w:t>Accessible Housing Project | Australian Human Rights Commission</w:t>
        </w:r>
      </w:hyperlink>
    </w:p>
  </w:footnote>
  <w:footnote w:id="11">
    <w:p w14:paraId="5E928DA1" w14:textId="4C82C581" w:rsidR="003C1E51" w:rsidRPr="005C2DF8" w:rsidRDefault="003C1E51">
      <w:pPr>
        <w:pStyle w:val="FootnoteText"/>
        <w:rPr>
          <w:rFonts w:ascii="Arial" w:hAnsi="Arial" w:cs="Arial"/>
          <w:sz w:val="16"/>
          <w:szCs w:val="16"/>
          <w:lang w:val="en-US"/>
        </w:rPr>
      </w:pPr>
      <w:r w:rsidRPr="005C2DF8">
        <w:rPr>
          <w:rStyle w:val="FootnoteReference"/>
          <w:rFonts w:ascii="Arial" w:hAnsi="Arial" w:cs="Arial"/>
          <w:sz w:val="16"/>
          <w:szCs w:val="16"/>
        </w:rPr>
        <w:footnoteRef/>
      </w:r>
      <w:r w:rsidRPr="005C2DF8">
        <w:rPr>
          <w:rFonts w:ascii="Arial" w:hAnsi="Arial" w:cs="Arial"/>
          <w:sz w:val="16"/>
          <w:szCs w:val="16"/>
        </w:rPr>
        <w:t xml:space="preserve"> National Construction Code (2022) New </w:t>
      </w:r>
      <w:proofErr w:type="spellStart"/>
      <w:r w:rsidRPr="005C2DF8">
        <w:rPr>
          <w:rFonts w:ascii="Arial" w:hAnsi="Arial" w:cs="Arial"/>
          <w:sz w:val="16"/>
          <w:szCs w:val="16"/>
        </w:rPr>
        <w:t>livable</w:t>
      </w:r>
      <w:proofErr w:type="spellEnd"/>
      <w:r w:rsidRPr="005C2DF8">
        <w:rPr>
          <w:rFonts w:ascii="Arial" w:hAnsi="Arial" w:cs="Arial"/>
          <w:sz w:val="16"/>
          <w:szCs w:val="16"/>
        </w:rPr>
        <w:t xml:space="preserve"> housing design requirements </w:t>
      </w:r>
      <w:hyperlink r:id="rId7" w:history="1">
        <w:r w:rsidRPr="005C2DF8">
          <w:rPr>
            <w:rStyle w:val="Hyperlink"/>
            <w:rFonts w:ascii="Arial" w:hAnsi="Arial" w:cs="Arial"/>
            <w:sz w:val="16"/>
            <w:szCs w:val="16"/>
          </w:rPr>
          <w:t xml:space="preserve">New </w:t>
        </w:r>
        <w:proofErr w:type="spellStart"/>
        <w:r w:rsidRPr="005C2DF8">
          <w:rPr>
            <w:rStyle w:val="Hyperlink"/>
            <w:rFonts w:ascii="Arial" w:hAnsi="Arial" w:cs="Arial"/>
            <w:sz w:val="16"/>
            <w:szCs w:val="16"/>
          </w:rPr>
          <w:t>livable</w:t>
        </w:r>
        <w:proofErr w:type="spellEnd"/>
        <w:r w:rsidRPr="005C2DF8">
          <w:rPr>
            <w:rStyle w:val="Hyperlink"/>
            <w:rFonts w:ascii="Arial" w:hAnsi="Arial" w:cs="Arial"/>
            <w:sz w:val="16"/>
            <w:szCs w:val="16"/>
          </w:rPr>
          <w:t xml:space="preserve"> housing design requirements | NCC (abcb.gov.au)</w:t>
        </w:r>
      </w:hyperlink>
    </w:p>
  </w:footnote>
  <w:footnote w:id="12">
    <w:p w14:paraId="77C2A4D9" w14:textId="055DFF88" w:rsidR="003C1E51" w:rsidRPr="005C2DF8" w:rsidRDefault="003C1E51">
      <w:pPr>
        <w:pStyle w:val="FootnoteText"/>
        <w:rPr>
          <w:rFonts w:ascii="Arial" w:hAnsi="Arial" w:cs="Arial"/>
          <w:sz w:val="16"/>
          <w:szCs w:val="16"/>
          <w:lang w:val="en-US"/>
        </w:rPr>
      </w:pPr>
      <w:r w:rsidRPr="005C2DF8">
        <w:rPr>
          <w:rStyle w:val="FootnoteReference"/>
          <w:rFonts w:ascii="Arial" w:hAnsi="Arial" w:cs="Arial"/>
          <w:sz w:val="16"/>
          <w:szCs w:val="16"/>
        </w:rPr>
        <w:footnoteRef/>
      </w:r>
      <w:r w:rsidRPr="005C2DF8">
        <w:rPr>
          <w:rFonts w:ascii="Arial" w:hAnsi="Arial" w:cs="Arial"/>
          <w:sz w:val="16"/>
          <w:szCs w:val="16"/>
        </w:rPr>
        <w:t xml:space="preserve"> Australian Building Cordes Board (2022) NCC 2022 state and territory adoption dates</w:t>
      </w:r>
      <w:r w:rsidRPr="005C2DF8">
        <w:rPr>
          <w:rFonts w:ascii="Arial" w:hAnsi="Arial" w:cs="Arial"/>
          <w:sz w:val="16"/>
          <w:szCs w:val="16"/>
          <w:lang w:val="en-US"/>
        </w:rPr>
        <w:t xml:space="preserve"> </w:t>
      </w:r>
      <w:hyperlink r:id="rId8" w:history="1">
        <w:r w:rsidRPr="005C2DF8">
          <w:rPr>
            <w:rStyle w:val="Hyperlink"/>
            <w:rFonts w:ascii="Arial" w:hAnsi="Arial" w:cs="Arial"/>
            <w:sz w:val="16"/>
            <w:szCs w:val="16"/>
          </w:rPr>
          <w:t>NCC 2022 state and territory adoption dates | ABCB</w:t>
        </w:r>
      </w:hyperlink>
    </w:p>
  </w:footnote>
  <w:footnote w:id="13">
    <w:p w14:paraId="39F2EB05" w14:textId="77777777" w:rsidR="003C1E51" w:rsidRPr="005C2DF8" w:rsidRDefault="003C1E51" w:rsidP="00482E9D">
      <w:pPr>
        <w:pStyle w:val="FootnoteText"/>
        <w:rPr>
          <w:rFonts w:ascii="Arial" w:hAnsi="Arial" w:cs="Arial"/>
          <w:sz w:val="16"/>
          <w:szCs w:val="16"/>
          <w:lang w:val="en-US"/>
        </w:rPr>
      </w:pPr>
      <w:r w:rsidRPr="005C2DF8">
        <w:rPr>
          <w:rStyle w:val="FootnoteReference"/>
          <w:rFonts w:ascii="Arial" w:hAnsi="Arial" w:cs="Arial"/>
          <w:sz w:val="16"/>
          <w:szCs w:val="16"/>
        </w:rPr>
        <w:footnoteRef/>
      </w:r>
      <w:r w:rsidRPr="005C2DF8">
        <w:rPr>
          <w:rFonts w:ascii="Arial" w:hAnsi="Arial" w:cs="Arial"/>
          <w:sz w:val="16"/>
          <w:szCs w:val="16"/>
        </w:rPr>
        <w:t xml:space="preserve"> Australian Housing and Urban Research Institute (AHURI) (2019) Understanding the links between mental health, housing and homelessness</w:t>
      </w:r>
      <w:r w:rsidRPr="005C2DF8">
        <w:rPr>
          <w:rFonts w:ascii="Arial" w:hAnsi="Arial" w:cs="Arial"/>
          <w:sz w:val="16"/>
          <w:szCs w:val="16"/>
          <w:lang w:val="en-US"/>
        </w:rPr>
        <w:t xml:space="preserve"> </w:t>
      </w:r>
      <w:hyperlink r:id="rId9" w:history="1">
        <w:r w:rsidRPr="005C2DF8">
          <w:rPr>
            <w:rStyle w:val="Hyperlink"/>
            <w:rFonts w:ascii="Arial" w:hAnsi="Arial" w:cs="Arial"/>
            <w:sz w:val="16"/>
            <w:szCs w:val="16"/>
          </w:rPr>
          <w:t>Understanding the links between mental health, housing and homelessness | AHURI</w:t>
        </w:r>
      </w:hyperlink>
      <w:r w:rsidRPr="005C2DF8">
        <w:rPr>
          <w:rFonts w:ascii="Arial" w:hAnsi="Arial" w:cs="Arial"/>
          <w:sz w:val="16"/>
          <w:szCs w:val="16"/>
          <w:lang w:val="en-US"/>
        </w:rPr>
        <w:t xml:space="preserve"> </w:t>
      </w:r>
    </w:p>
  </w:footnote>
  <w:footnote w:id="14">
    <w:p w14:paraId="67AEF778" w14:textId="10964525" w:rsidR="003C1E51" w:rsidRPr="002B2E14" w:rsidRDefault="003C1E51">
      <w:pPr>
        <w:pStyle w:val="FootnoteText"/>
        <w:rPr>
          <w:rFonts w:ascii="Arial" w:hAnsi="Arial" w:cs="Arial"/>
          <w:sz w:val="16"/>
          <w:szCs w:val="16"/>
          <w:lang w:val="en-US"/>
        </w:rPr>
      </w:pPr>
      <w:r w:rsidRPr="00925536">
        <w:rPr>
          <w:rStyle w:val="FootnoteReference"/>
          <w:rFonts w:ascii="Arial" w:hAnsi="Arial" w:cs="Arial"/>
        </w:rPr>
        <w:footnoteRef/>
      </w:r>
      <w:r w:rsidRPr="00925536">
        <w:rPr>
          <w:rFonts w:ascii="Arial" w:hAnsi="Arial" w:cs="Arial"/>
        </w:rPr>
        <w:t xml:space="preserve"> </w:t>
      </w:r>
      <w:r w:rsidRPr="002B2E14">
        <w:rPr>
          <w:rFonts w:ascii="Arial" w:hAnsi="Arial" w:cs="Arial"/>
          <w:sz w:val="16"/>
          <w:szCs w:val="16"/>
        </w:rPr>
        <w:t>Consumer Affairs Victoria (2023) Rent Increases</w:t>
      </w:r>
      <w:r w:rsidRPr="002B2E14">
        <w:rPr>
          <w:rFonts w:ascii="Arial" w:hAnsi="Arial" w:cs="Arial"/>
          <w:sz w:val="16"/>
          <w:szCs w:val="16"/>
          <w:lang w:val="en-US"/>
        </w:rPr>
        <w:t xml:space="preserve"> </w:t>
      </w:r>
      <w:hyperlink r:id="rId10" w:history="1">
        <w:r w:rsidRPr="002B2E14">
          <w:rPr>
            <w:rStyle w:val="Hyperlink"/>
            <w:rFonts w:ascii="Arial" w:hAnsi="Arial" w:cs="Arial"/>
            <w:sz w:val="16"/>
            <w:szCs w:val="16"/>
          </w:rPr>
          <w:t>Rent increases - Consumer Affairs Victoria</w:t>
        </w:r>
      </w:hyperlink>
    </w:p>
  </w:footnote>
  <w:footnote w:id="15">
    <w:p w14:paraId="3D8B9432" w14:textId="121860D9" w:rsidR="003C1E51" w:rsidRPr="002B2E14" w:rsidRDefault="003C1E51">
      <w:pPr>
        <w:pStyle w:val="FootnoteText"/>
        <w:rPr>
          <w:rFonts w:ascii="Arial" w:hAnsi="Arial" w:cs="Arial"/>
          <w:sz w:val="16"/>
          <w:szCs w:val="16"/>
          <w:lang w:val="en-US"/>
        </w:rPr>
      </w:pPr>
      <w:r w:rsidRPr="002B2E14">
        <w:rPr>
          <w:rStyle w:val="FootnoteReference"/>
          <w:rFonts w:ascii="Arial" w:hAnsi="Arial" w:cs="Arial"/>
          <w:sz w:val="16"/>
          <w:szCs w:val="16"/>
        </w:rPr>
        <w:footnoteRef/>
      </w:r>
      <w:r w:rsidRPr="002B2E14">
        <w:rPr>
          <w:rFonts w:ascii="Arial" w:hAnsi="Arial" w:cs="Arial"/>
          <w:sz w:val="16"/>
          <w:szCs w:val="16"/>
        </w:rPr>
        <w:t xml:space="preserve"> ACT Government (2023) Residential Tenancies Act 1997 Republication No 76 Effective: 1 April 2023 Republication date: 1 April 2023 </w:t>
      </w:r>
      <w:hyperlink r:id="rId11" w:history="1">
        <w:r w:rsidRPr="002B2E14">
          <w:rPr>
            <w:rStyle w:val="Hyperlink"/>
            <w:rFonts w:ascii="Arial" w:hAnsi="Arial" w:cs="Arial"/>
            <w:sz w:val="16"/>
            <w:szCs w:val="16"/>
          </w:rPr>
          <w:t>Residential Tenancies Act 1997 | Acts</w:t>
        </w:r>
      </w:hyperlink>
    </w:p>
  </w:footnote>
  <w:footnote w:id="16">
    <w:p w14:paraId="3421A89A" w14:textId="47E425E6" w:rsidR="003C1E51" w:rsidRPr="002B2E14" w:rsidRDefault="003C1E51" w:rsidP="00623DE8">
      <w:pPr>
        <w:pStyle w:val="FootnoteText"/>
        <w:rPr>
          <w:rFonts w:ascii="Arial" w:hAnsi="Arial" w:cs="Arial"/>
          <w:sz w:val="16"/>
          <w:szCs w:val="16"/>
          <w:lang w:val="en-US"/>
        </w:rPr>
      </w:pPr>
      <w:r w:rsidRPr="002B2E14">
        <w:rPr>
          <w:rStyle w:val="FootnoteReference"/>
          <w:rFonts w:ascii="Arial" w:hAnsi="Arial" w:cs="Arial"/>
          <w:sz w:val="16"/>
          <w:szCs w:val="16"/>
        </w:rPr>
        <w:footnoteRef/>
      </w:r>
      <w:r w:rsidRPr="002B2E14">
        <w:rPr>
          <w:rFonts w:ascii="Arial" w:hAnsi="Arial" w:cs="Arial"/>
          <w:sz w:val="16"/>
          <w:szCs w:val="16"/>
        </w:rPr>
        <w:t xml:space="preserve"> Anglicare Australia (2023) Rental affordability snapshot national report 2023 \ Fourteenth edition, page 17-19 </w:t>
      </w:r>
      <w:hyperlink r:id="rId12" w:history="1">
        <w:r w:rsidRPr="002B2E14">
          <w:rPr>
            <w:rStyle w:val="Hyperlink"/>
            <w:rFonts w:ascii="Arial" w:hAnsi="Arial" w:cs="Arial"/>
            <w:sz w:val="16"/>
            <w:szCs w:val="16"/>
          </w:rPr>
          <w:t>https://www.anglicare.asn.au/wp-content/uploads/2023/04/Rental-Affordability-Snapshot-National-Report.pdf</w:t>
        </w:r>
      </w:hyperlink>
      <w:r w:rsidRPr="002B2E14">
        <w:rPr>
          <w:rFonts w:ascii="Arial" w:hAnsi="Arial" w:cs="Arial"/>
          <w:sz w:val="16"/>
          <w:szCs w:val="16"/>
        </w:rPr>
        <w:t xml:space="preserve"> </w:t>
      </w:r>
    </w:p>
    <w:p w14:paraId="1492BEBF" w14:textId="0A4DF437" w:rsidR="003C1E51" w:rsidRPr="002B2E14" w:rsidRDefault="003C1E51">
      <w:pPr>
        <w:pStyle w:val="FootnoteText"/>
        <w:rPr>
          <w:rFonts w:ascii="Arial" w:hAnsi="Arial" w:cs="Arial"/>
          <w:sz w:val="14"/>
          <w:szCs w:val="14"/>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D411" w14:textId="77777777" w:rsidR="003C1E51" w:rsidRDefault="003C1E51">
    <w:pPr>
      <w:pStyle w:val="Header"/>
    </w:pPr>
    <w:r>
      <w:rPr>
        <w:noProof/>
        <w:lang w:eastAsia="en-AU"/>
      </w:rPr>
      <w:drawing>
        <wp:anchor distT="0" distB="0" distL="114300" distR="114300" simplePos="0" relativeHeight="251658243" behindDoc="1" locked="0" layoutInCell="1" allowOverlap="1" wp14:anchorId="031F0964" wp14:editId="031F0965">
          <wp:simplePos x="0" y="0"/>
          <wp:positionH relativeFrom="column">
            <wp:posOffset>-905347</wp:posOffset>
          </wp:positionH>
          <wp:positionV relativeFrom="paragraph">
            <wp:posOffset>-449580</wp:posOffset>
          </wp:positionV>
          <wp:extent cx="7532484" cy="2461905"/>
          <wp:effectExtent l="0" t="0" r="0" b="1905"/>
          <wp:wrapNone/>
          <wp:docPr id="338653846" name="Picture 338653846"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DA-header.png"/>
                  <pic:cNvPicPr/>
                </pic:nvPicPr>
                <pic:blipFill>
                  <a:blip r:embed="rId1">
                    <a:extLst>
                      <a:ext uri="{28A0092B-C50C-407E-A947-70E740481C1C}">
                        <a14:useLocalDpi xmlns:a14="http://schemas.microsoft.com/office/drawing/2010/main" val="0"/>
                      </a:ext>
                    </a:extLst>
                  </a:blip>
                  <a:stretch>
                    <a:fillRect/>
                  </a:stretch>
                </pic:blipFill>
                <pic:spPr>
                  <a:xfrm>
                    <a:off x="0" y="0"/>
                    <a:ext cx="7576122" cy="247616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0960" w14:textId="77777777" w:rsidR="00F000FF" w:rsidRDefault="00F000FF">
    <w:pPr>
      <w:pStyle w:val="Header"/>
    </w:pPr>
    <w:r>
      <w:rPr>
        <w:noProof/>
        <w:lang w:eastAsia="en-AU"/>
      </w:rPr>
      <w:drawing>
        <wp:anchor distT="0" distB="0" distL="114300" distR="114300" simplePos="0" relativeHeight="251658240" behindDoc="1" locked="0" layoutInCell="1" allowOverlap="1" wp14:anchorId="031F0964" wp14:editId="031F0965">
          <wp:simplePos x="0" y="0"/>
          <wp:positionH relativeFrom="column">
            <wp:posOffset>-905347</wp:posOffset>
          </wp:positionH>
          <wp:positionV relativeFrom="paragraph">
            <wp:posOffset>-449580</wp:posOffset>
          </wp:positionV>
          <wp:extent cx="7532484" cy="2461905"/>
          <wp:effectExtent l="0" t="0" r="0" b="1905"/>
          <wp:wrapNone/>
          <wp:docPr id="1707582044" name="Picture 1707582044"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DA-header.png"/>
                  <pic:cNvPicPr/>
                </pic:nvPicPr>
                <pic:blipFill>
                  <a:blip r:embed="rId1">
                    <a:extLst>
                      <a:ext uri="{28A0092B-C50C-407E-A947-70E740481C1C}">
                        <a14:useLocalDpi xmlns:a14="http://schemas.microsoft.com/office/drawing/2010/main" val="0"/>
                      </a:ext>
                    </a:extLst>
                  </a:blip>
                  <a:stretch>
                    <a:fillRect/>
                  </a:stretch>
                </pic:blipFill>
                <pic:spPr>
                  <a:xfrm>
                    <a:off x="0" y="0"/>
                    <a:ext cx="7576122" cy="24761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61F"/>
    <w:multiLevelType w:val="hybridMultilevel"/>
    <w:tmpl w:val="7C4004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5F0FE8"/>
    <w:multiLevelType w:val="hybridMultilevel"/>
    <w:tmpl w:val="B588BF2A"/>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655A75"/>
    <w:multiLevelType w:val="hybridMultilevel"/>
    <w:tmpl w:val="2B780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C4F7007"/>
    <w:multiLevelType w:val="hybridMultilevel"/>
    <w:tmpl w:val="4508D8FA"/>
    <w:lvl w:ilvl="0" w:tplc="AC0E2AFE">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C82781A"/>
    <w:multiLevelType w:val="hybridMultilevel"/>
    <w:tmpl w:val="D1FAE1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EF56ED"/>
    <w:multiLevelType w:val="hybridMultilevel"/>
    <w:tmpl w:val="17B615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A141B2"/>
    <w:multiLevelType w:val="hybridMultilevel"/>
    <w:tmpl w:val="072A2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1521C4"/>
    <w:multiLevelType w:val="multilevel"/>
    <w:tmpl w:val="24FE75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50075D52"/>
    <w:multiLevelType w:val="hybridMultilevel"/>
    <w:tmpl w:val="A2A05556"/>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D86F3C"/>
    <w:multiLevelType w:val="hybridMultilevel"/>
    <w:tmpl w:val="50F08216"/>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426481"/>
    <w:multiLevelType w:val="hybridMultilevel"/>
    <w:tmpl w:val="DF7C2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1724BD"/>
    <w:multiLevelType w:val="multilevel"/>
    <w:tmpl w:val="2926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4C0FA7"/>
    <w:multiLevelType w:val="multilevel"/>
    <w:tmpl w:val="96AA6E46"/>
    <w:lvl w:ilvl="0">
      <w:start w:val="3"/>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3" w15:restartNumberingAfterBreak="0">
    <w:nsid w:val="63AD20C9"/>
    <w:multiLevelType w:val="hybridMultilevel"/>
    <w:tmpl w:val="2526707A"/>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0615CE"/>
    <w:multiLevelType w:val="hybridMultilevel"/>
    <w:tmpl w:val="7ED2D08E"/>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A23310"/>
    <w:multiLevelType w:val="hybridMultilevel"/>
    <w:tmpl w:val="43C695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184EBF"/>
    <w:multiLevelType w:val="hybridMultilevel"/>
    <w:tmpl w:val="6A8E2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DA64DB"/>
    <w:multiLevelType w:val="hybridMultilevel"/>
    <w:tmpl w:val="D714BA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88158E"/>
    <w:multiLevelType w:val="hybridMultilevel"/>
    <w:tmpl w:val="FBB02736"/>
    <w:lvl w:ilvl="0" w:tplc="2368A3E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8F61D8"/>
    <w:multiLevelType w:val="hybridMultilevel"/>
    <w:tmpl w:val="3C167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9752788">
    <w:abstractNumId w:val="13"/>
  </w:num>
  <w:num w:numId="2" w16cid:durableId="1332491096">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086697">
    <w:abstractNumId w:val="16"/>
  </w:num>
  <w:num w:numId="4" w16cid:durableId="1878270082">
    <w:abstractNumId w:val="8"/>
  </w:num>
  <w:num w:numId="5" w16cid:durableId="839275886">
    <w:abstractNumId w:val="9"/>
  </w:num>
  <w:num w:numId="6" w16cid:durableId="1350528516">
    <w:abstractNumId w:val="14"/>
  </w:num>
  <w:num w:numId="7" w16cid:durableId="1483042564">
    <w:abstractNumId w:val="1"/>
  </w:num>
  <w:num w:numId="8" w16cid:durableId="1327437172">
    <w:abstractNumId w:val="10"/>
  </w:num>
  <w:num w:numId="9" w16cid:durableId="2043163010">
    <w:abstractNumId w:val="17"/>
  </w:num>
  <w:num w:numId="10" w16cid:durableId="1951012307">
    <w:abstractNumId w:val="4"/>
  </w:num>
  <w:num w:numId="11" w16cid:durableId="582643622">
    <w:abstractNumId w:val="5"/>
  </w:num>
  <w:num w:numId="12" w16cid:durableId="906259806">
    <w:abstractNumId w:val="6"/>
  </w:num>
  <w:num w:numId="13" w16cid:durableId="391343498">
    <w:abstractNumId w:val="18"/>
  </w:num>
  <w:num w:numId="14" w16cid:durableId="1595893425">
    <w:abstractNumId w:val="3"/>
  </w:num>
  <w:num w:numId="15" w16cid:durableId="1612975948">
    <w:abstractNumId w:val="7"/>
  </w:num>
  <w:num w:numId="16" w16cid:durableId="1145272854">
    <w:abstractNumId w:val="11"/>
  </w:num>
  <w:num w:numId="17" w16cid:durableId="425150124">
    <w:abstractNumId w:val="15"/>
  </w:num>
  <w:num w:numId="18" w16cid:durableId="105540916">
    <w:abstractNumId w:val="0"/>
  </w:num>
  <w:num w:numId="19" w16cid:durableId="1805463282">
    <w:abstractNumId w:val="2"/>
  </w:num>
  <w:num w:numId="20" w16cid:durableId="11602669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NDI1tTSxNDextDBW0lEKTi0uzszPAykwrAUA+yMTeywAAAA="/>
  </w:docVars>
  <w:rsids>
    <w:rsidRoot w:val="00B10D7E"/>
    <w:rsid w:val="00000178"/>
    <w:rsid w:val="00000B64"/>
    <w:rsid w:val="000064A9"/>
    <w:rsid w:val="000109D4"/>
    <w:rsid w:val="000138D9"/>
    <w:rsid w:val="0001520C"/>
    <w:rsid w:val="00027A9B"/>
    <w:rsid w:val="00035BD8"/>
    <w:rsid w:val="00035FB9"/>
    <w:rsid w:val="000367A7"/>
    <w:rsid w:val="000420C6"/>
    <w:rsid w:val="00046405"/>
    <w:rsid w:val="000506B8"/>
    <w:rsid w:val="000509FF"/>
    <w:rsid w:val="00050DB1"/>
    <w:rsid w:val="000518F7"/>
    <w:rsid w:val="00054B00"/>
    <w:rsid w:val="00055AA9"/>
    <w:rsid w:val="00060FA6"/>
    <w:rsid w:val="00062E26"/>
    <w:rsid w:val="00070B62"/>
    <w:rsid w:val="00074BD4"/>
    <w:rsid w:val="00076810"/>
    <w:rsid w:val="00097E33"/>
    <w:rsid w:val="000A0DF6"/>
    <w:rsid w:val="000A347D"/>
    <w:rsid w:val="000B4113"/>
    <w:rsid w:val="000B57D0"/>
    <w:rsid w:val="000C4033"/>
    <w:rsid w:val="000C66CD"/>
    <w:rsid w:val="000C6724"/>
    <w:rsid w:val="000D6DA3"/>
    <w:rsid w:val="000E15F5"/>
    <w:rsid w:val="000E5D2F"/>
    <w:rsid w:val="000E7442"/>
    <w:rsid w:val="000F1EF2"/>
    <w:rsid w:val="000F3B1A"/>
    <w:rsid w:val="000F5BAD"/>
    <w:rsid w:val="00105E7D"/>
    <w:rsid w:val="0011304A"/>
    <w:rsid w:val="00120113"/>
    <w:rsid w:val="001210C8"/>
    <w:rsid w:val="001222AA"/>
    <w:rsid w:val="0012342C"/>
    <w:rsid w:val="00125368"/>
    <w:rsid w:val="00151F2F"/>
    <w:rsid w:val="00160F5A"/>
    <w:rsid w:val="00160F8F"/>
    <w:rsid w:val="00170D53"/>
    <w:rsid w:val="00184DED"/>
    <w:rsid w:val="0018500C"/>
    <w:rsid w:val="00185525"/>
    <w:rsid w:val="0019687B"/>
    <w:rsid w:val="001A04CC"/>
    <w:rsid w:val="001A3BDA"/>
    <w:rsid w:val="001B3E76"/>
    <w:rsid w:val="001B5830"/>
    <w:rsid w:val="001B6999"/>
    <w:rsid w:val="001B6FBF"/>
    <w:rsid w:val="001B786A"/>
    <w:rsid w:val="001C27E2"/>
    <w:rsid w:val="001C58ED"/>
    <w:rsid w:val="001D1931"/>
    <w:rsid w:val="001D50EA"/>
    <w:rsid w:val="001F2945"/>
    <w:rsid w:val="00201B4D"/>
    <w:rsid w:val="00213AF2"/>
    <w:rsid w:val="00224B83"/>
    <w:rsid w:val="00231893"/>
    <w:rsid w:val="002350DC"/>
    <w:rsid w:val="00236EAE"/>
    <w:rsid w:val="0023711C"/>
    <w:rsid w:val="00240F30"/>
    <w:rsid w:val="0024137D"/>
    <w:rsid w:val="00254227"/>
    <w:rsid w:val="002633AB"/>
    <w:rsid w:val="00265931"/>
    <w:rsid w:val="00266AB3"/>
    <w:rsid w:val="00270901"/>
    <w:rsid w:val="00271334"/>
    <w:rsid w:val="00277902"/>
    <w:rsid w:val="002800DD"/>
    <w:rsid w:val="00280604"/>
    <w:rsid w:val="00284949"/>
    <w:rsid w:val="00285D9A"/>
    <w:rsid w:val="00290763"/>
    <w:rsid w:val="00292F39"/>
    <w:rsid w:val="00294139"/>
    <w:rsid w:val="002B173D"/>
    <w:rsid w:val="002B2E14"/>
    <w:rsid w:val="002B400E"/>
    <w:rsid w:val="002B6D23"/>
    <w:rsid w:val="002B76C9"/>
    <w:rsid w:val="002C2105"/>
    <w:rsid w:val="002C73B9"/>
    <w:rsid w:val="002C7D23"/>
    <w:rsid w:val="002D39FA"/>
    <w:rsid w:val="002D7ECA"/>
    <w:rsid w:val="002E0A6B"/>
    <w:rsid w:val="002E2D67"/>
    <w:rsid w:val="002E3371"/>
    <w:rsid w:val="002F1C4E"/>
    <w:rsid w:val="00300B52"/>
    <w:rsid w:val="00301BF6"/>
    <w:rsid w:val="00302579"/>
    <w:rsid w:val="00304965"/>
    <w:rsid w:val="00305645"/>
    <w:rsid w:val="00307701"/>
    <w:rsid w:val="00307C0A"/>
    <w:rsid w:val="00311487"/>
    <w:rsid w:val="00312EC5"/>
    <w:rsid w:val="003213ED"/>
    <w:rsid w:val="00322C9C"/>
    <w:rsid w:val="003254BD"/>
    <w:rsid w:val="0033021E"/>
    <w:rsid w:val="00332643"/>
    <w:rsid w:val="0034089D"/>
    <w:rsid w:val="003442F3"/>
    <w:rsid w:val="0034717C"/>
    <w:rsid w:val="003526F1"/>
    <w:rsid w:val="00356951"/>
    <w:rsid w:val="003630AC"/>
    <w:rsid w:val="003648DF"/>
    <w:rsid w:val="00364C2C"/>
    <w:rsid w:val="00371847"/>
    <w:rsid w:val="00373D7D"/>
    <w:rsid w:val="00375E31"/>
    <w:rsid w:val="00376161"/>
    <w:rsid w:val="00380D6C"/>
    <w:rsid w:val="0038280B"/>
    <w:rsid w:val="00383EA9"/>
    <w:rsid w:val="00387121"/>
    <w:rsid w:val="0039148E"/>
    <w:rsid w:val="00395D1A"/>
    <w:rsid w:val="003964E9"/>
    <w:rsid w:val="003A2F88"/>
    <w:rsid w:val="003B3834"/>
    <w:rsid w:val="003B3F8B"/>
    <w:rsid w:val="003C1E51"/>
    <w:rsid w:val="003C7255"/>
    <w:rsid w:val="003D1204"/>
    <w:rsid w:val="003D1B2C"/>
    <w:rsid w:val="003D2E5D"/>
    <w:rsid w:val="003D3612"/>
    <w:rsid w:val="003D4EFD"/>
    <w:rsid w:val="003E65FD"/>
    <w:rsid w:val="003E6C79"/>
    <w:rsid w:val="003F1271"/>
    <w:rsid w:val="004005F2"/>
    <w:rsid w:val="00400F44"/>
    <w:rsid w:val="00402D3C"/>
    <w:rsid w:val="00412BB6"/>
    <w:rsid w:val="00414DED"/>
    <w:rsid w:val="00416CCD"/>
    <w:rsid w:val="00422AC5"/>
    <w:rsid w:val="00425A0A"/>
    <w:rsid w:val="00434BCA"/>
    <w:rsid w:val="004359DD"/>
    <w:rsid w:val="00437576"/>
    <w:rsid w:val="00453AA2"/>
    <w:rsid w:val="0047488D"/>
    <w:rsid w:val="00475DE5"/>
    <w:rsid w:val="00476B6D"/>
    <w:rsid w:val="0047733E"/>
    <w:rsid w:val="00481F8A"/>
    <w:rsid w:val="00482E9D"/>
    <w:rsid w:val="004860CF"/>
    <w:rsid w:val="004958EB"/>
    <w:rsid w:val="00495D30"/>
    <w:rsid w:val="004A47BE"/>
    <w:rsid w:val="004A4964"/>
    <w:rsid w:val="004B4D50"/>
    <w:rsid w:val="004B4DE5"/>
    <w:rsid w:val="004C4EC3"/>
    <w:rsid w:val="004D3BBC"/>
    <w:rsid w:val="004D3DB4"/>
    <w:rsid w:val="004D5B3E"/>
    <w:rsid w:val="004E111B"/>
    <w:rsid w:val="004E25A7"/>
    <w:rsid w:val="004E2995"/>
    <w:rsid w:val="004E4D04"/>
    <w:rsid w:val="00503103"/>
    <w:rsid w:val="00507A98"/>
    <w:rsid w:val="00510A9F"/>
    <w:rsid w:val="0052322C"/>
    <w:rsid w:val="00532FB9"/>
    <w:rsid w:val="00532FED"/>
    <w:rsid w:val="00540D35"/>
    <w:rsid w:val="00540E0D"/>
    <w:rsid w:val="00543E92"/>
    <w:rsid w:val="00552B8D"/>
    <w:rsid w:val="00556FCF"/>
    <w:rsid w:val="00560520"/>
    <w:rsid w:val="0056370F"/>
    <w:rsid w:val="00564594"/>
    <w:rsid w:val="00573200"/>
    <w:rsid w:val="00575050"/>
    <w:rsid w:val="00581DEA"/>
    <w:rsid w:val="00590369"/>
    <w:rsid w:val="00597201"/>
    <w:rsid w:val="005A60E3"/>
    <w:rsid w:val="005A76B7"/>
    <w:rsid w:val="005B2A9D"/>
    <w:rsid w:val="005B4B60"/>
    <w:rsid w:val="005B4D2C"/>
    <w:rsid w:val="005B5157"/>
    <w:rsid w:val="005B7980"/>
    <w:rsid w:val="005C0F1C"/>
    <w:rsid w:val="005C0FC8"/>
    <w:rsid w:val="005C2DF8"/>
    <w:rsid w:val="005D6915"/>
    <w:rsid w:val="005E39B3"/>
    <w:rsid w:val="005E652F"/>
    <w:rsid w:val="005F0B67"/>
    <w:rsid w:val="005F334A"/>
    <w:rsid w:val="00602FC4"/>
    <w:rsid w:val="00620F38"/>
    <w:rsid w:val="00623DE8"/>
    <w:rsid w:val="00625741"/>
    <w:rsid w:val="00630D4E"/>
    <w:rsid w:val="006427F9"/>
    <w:rsid w:val="00644693"/>
    <w:rsid w:val="006535B1"/>
    <w:rsid w:val="00654C8D"/>
    <w:rsid w:val="00671221"/>
    <w:rsid w:val="00671ABA"/>
    <w:rsid w:val="00676995"/>
    <w:rsid w:val="006826C7"/>
    <w:rsid w:val="0068617C"/>
    <w:rsid w:val="00687B9B"/>
    <w:rsid w:val="006A551E"/>
    <w:rsid w:val="006A6469"/>
    <w:rsid w:val="006B261C"/>
    <w:rsid w:val="006B3BE1"/>
    <w:rsid w:val="006C5D83"/>
    <w:rsid w:val="006D063E"/>
    <w:rsid w:val="006D4243"/>
    <w:rsid w:val="006D6286"/>
    <w:rsid w:val="006D6AB0"/>
    <w:rsid w:val="006E1CD0"/>
    <w:rsid w:val="006F10CE"/>
    <w:rsid w:val="006F3364"/>
    <w:rsid w:val="006F5F5E"/>
    <w:rsid w:val="00700185"/>
    <w:rsid w:val="0071452A"/>
    <w:rsid w:val="00716C6E"/>
    <w:rsid w:val="00722F6E"/>
    <w:rsid w:val="0073055E"/>
    <w:rsid w:val="007307ED"/>
    <w:rsid w:val="00732E14"/>
    <w:rsid w:val="00754801"/>
    <w:rsid w:val="007570BA"/>
    <w:rsid w:val="00775253"/>
    <w:rsid w:val="00775A88"/>
    <w:rsid w:val="007852D1"/>
    <w:rsid w:val="00786314"/>
    <w:rsid w:val="0079042B"/>
    <w:rsid w:val="0079386B"/>
    <w:rsid w:val="007A1E6B"/>
    <w:rsid w:val="007A3DC6"/>
    <w:rsid w:val="007B0180"/>
    <w:rsid w:val="007B0A0B"/>
    <w:rsid w:val="007B39CB"/>
    <w:rsid w:val="007B734A"/>
    <w:rsid w:val="007B7F2C"/>
    <w:rsid w:val="007C2967"/>
    <w:rsid w:val="007C35AF"/>
    <w:rsid w:val="007C5870"/>
    <w:rsid w:val="007D1216"/>
    <w:rsid w:val="007D278F"/>
    <w:rsid w:val="007D3EDA"/>
    <w:rsid w:val="007D5CAA"/>
    <w:rsid w:val="007D6AF7"/>
    <w:rsid w:val="007E17DE"/>
    <w:rsid w:val="007E255A"/>
    <w:rsid w:val="007E2C65"/>
    <w:rsid w:val="007E52F5"/>
    <w:rsid w:val="007F1EAE"/>
    <w:rsid w:val="007F76FB"/>
    <w:rsid w:val="00800864"/>
    <w:rsid w:val="00805BEB"/>
    <w:rsid w:val="008167B0"/>
    <w:rsid w:val="00816C33"/>
    <w:rsid w:val="00832CD6"/>
    <w:rsid w:val="008356EE"/>
    <w:rsid w:val="008369D6"/>
    <w:rsid w:val="00837442"/>
    <w:rsid w:val="00857C66"/>
    <w:rsid w:val="00871DD5"/>
    <w:rsid w:val="0087533A"/>
    <w:rsid w:val="0088674E"/>
    <w:rsid w:val="00886A67"/>
    <w:rsid w:val="00897765"/>
    <w:rsid w:val="008A242E"/>
    <w:rsid w:val="008B13E8"/>
    <w:rsid w:val="008B1485"/>
    <w:rsid w:val="008B28EA"/>
    <w:rsid w:val="008B2CCF"/>
    <w:rsid w:val="008B67E9"/>
    <w:rsid w:val="008B783B"/>
    <w:rsid w:val="008D0462"/>
    <w:rsid w:val="008E11F1"/>
    <w:rsid w:val="008E4395"/>
    <w:rsid w:val="008E5101"/>
    <w:rsid w:val="008E5612"/>
    <w:rsid w:val="008E59DD"/>
    <w:rsid w:val="008E74BB"/>
    <w:rsid w:val="008F18EB"/>
    <w:rsid w:val="008F5397"/>
    <w:rsid w:val="0090000A"/>
    <w:rsid w:val="00902AE8"/>
    <w:rsid w:val="00907B3A"/>
    <w:rsid w:val="00913798"/>
    <w:rsid w:val="00914A6D"/>
    <w:rsid w:val="00916B13"/>
    <w:rsid w:val="00921D45"/>
    <w:rsid w:val="00923682"/>
    <w:rsid w:val="00925536"/>
    <w:rsid w:val="0093185B"/>
    <w:rsid w:val="0093414B"/>
    <w:rsid w:val="00944444"/>
    <w:rsid w:val="00967787"/>
    <w:rsid w:val="009805A4"/>
    <w:rsid w:val="00981CAB"/>
    <w:rsid w:val="00992EE4"/>
    <w:rsid w:val="00992F86"/>
    <w:rsid w:val="009A1450"/>
    <w:rsid w:val="009A4BED"/>
    <w:rsid w:val="009B0414"/>
    <w:rsid w:val="009B17B4"/>
    <w:rsid w:val="009B784B"/>
    <w:rsid w:val="009C4262"/>
    <w:rsid w:val="009C5222"/>
    <w:rsid w:val="009C5AE6"/>
    <w:rsid w:val="009C5B63"/>
    <w:rsid w:val="009C65D7"/>
    <w:rsid w:val="009D00B4"/>
    <w:rsid w:val="009D2AEF"/>
    <w:rsid w:val="009D5830"/>
    <w:rsid w:val="009D7F9F"/>
    <w:rsid w:val="009E16D1"/>
    <w:rsid w:val="009E5948"/>
    <w:rsid w:val="009E5D58"/>
    <w:rsid w:val="009F1129"/>
    <w:rsid w:val="00A04D4C"/>
    <w:rsid w:val="00A11F0A"/>
    <w:rsid w:val="00A12E36"/>
    <w:rsid w:val="00A20AD8"/>
    <w:rsid w:val="00A23F9D"/>
    <w:rsid w:val="00A24DF9"/>
    <w:rsid w:val="00A276C5"/>
    <w:rsid w:val="00A315C2"/>
    <w:rsid w:val="00A365D2"/>
    <w:rsid w:val="00A37231"/>
    <w:rsid w:val="00A37FDA"/>
    <w:rsid w:val="00A40B8F"/>
    <w:rsid w:val="00A40C06"/>
    <w:rsid w:val="00A46759"/>
    <w:rsid w:val="00A53AD8"/>
    <w:rsid w:val="00A6639F"/>
    <w:rsid w:val="00A67A3B"/>
    <w:rsid w:val="00A76DD7"/>
    <w:rsid w:val="00A80C41"/>
    <w:rsid w:val="00AA1A8A"/>
    <w:rsid w:val="00AB0AB7"/>
    <w:rsid w:val="00AB249C"/>
    <w:rsid w:val="00AB3B1B"/>
    <w:rsid w:val="00AB53F8"/>
    <w:rsid w:val="00AB6443"/>
    <w:rsid w:val="00AC1A36"/>
    <w:rsid w:val="00AC29C8"/>
    <w:rsid w:val="00AC312C"/>
    <w:rsid w:val="00AD013B"/>
    <w:rsid w:val="00AD4DF8"/>
    <w:rsid w:val="00AE0606"/>
    <w:rsid w:val="00AE1539"/>
    <w:rsid w:val="00B00C35"/>
    <w:rsid w:val="00B00D3A"/>
    <w:rsid w:val="00B01369"/>
    <w:rsid w:val="00B10D7E"/>
    <w:rsid w:val="00B131C1"/>
    <w:rsid w:val="00B14002"/>
    <w:rsid w:val="00B22DD2"/>
    <w:rsid w:val="00B33D7E"/>
    <w:rsid w:val="00B37A43"/>
    <w:rsid w:val="00B406BB"/>
    <w:rsid w:val="00B415AA"/>
    <w:rsid w:val="00B43A03"/>
    <w:rsid w:val="00B4471B"/>
    <w:rsid w:val="00B53FE3"/>
    <w:rsid w:val="00B6326B"/>
    <w:rsid w:val="00B664B1"/>
    <w:rsid w:val="00B66A2B"/>
    <w:rsid w:val="00B7393E"/>
    <w:rsid w:val="00B7703F"/>
    <w:rsid w:val="00B7714C"/>
    <w:rsid w:val="00B95301"/>
    <w:rsid w:val="00BA40C3"/>
    <w:rsid w:val="00BA41DE"/>
    <w:rsid w:val="00BA4F2A"/>
    <w:rsid w:val="00BA5AC7"/>
    <w:rsid w:val="00BA6165"/>
    <w:rsid w:val="00BA628D"/>
    <w:rsid w:val="00BB4F64"/>
    <w:rsid w:val="00BB55C6"/>
    <w:rsid w:val="00BC2B89"/>
    <w:rsid w:val="00BC63B2"/>
    <w:rsid w:val="00BC73DD"/>
    <w:rsid w:val="00BD09FD"/>
    <w:rsid w:val="00BD0B2D"/>
    <w:rsid w:val="00BD116E"/>
    <w:rsid w:val="00BD6DC4"/>
    <w:rsid w:val="00BD76CC"/>
    <w:rsid w:val="00BE46E0"/>
    <w:rsid w:val="00BE7A2F"/>
    <w:rsid w:val="00BF6FB0"/>
    <w:rsid w:val="00C005AD"/>
    <w:rsid w:val="00C04DE7"/>
    <w:rsid w:val="00C14D8F"/>
    <w:rsid w:val="00C15033"/>
    <w:rsid w:val="00C16A15"/>
    <w:rsid w:val="00C20AF8"/>
    <w:rsid w:val="00C30DA9"/>
    <w:rsid w:val="00C365D3"/>
    <w:rsid w:val="00C43BF2"/>
    <w:rsid w:val="00C43E78"/>
    <w:rsid w:val="00C501F8"/>
    <w:rsid w:val="00C651AA"/>
    <w:rsid w:val="00C65861"/>
    <w:rsid w:val="00C7115B"/>
    <w:rsid w:val="00C902C6"/>
    <w:rsid w:val="00CA26B2"/>
    <w:rsid w:val="00CB0DDA"/>
    <w:rsid w:val="00CB67C8"/>
    <w:rsid w:val="00CB6C14"/>
    <w:rsid w:val="00CC6943"/>
    <w:rsid w:val="00CD2DD0"/>
    <w:rsid w:val="00CD6200"/>
    <w:rsid w:val="00CD7B43"/>
    <w:rsid w:val="00CE2BD2"/>
    <w:rsid w:val="00CE33F4"/>
    <w:rsid w:val="00CE6A6C"/>
    <w:rsid w:val="00CE7D75"/>
    <w:rsid w:val="00CF3B4C"/>
    <w:rsid w:val="00D017BA"/>
    <w:rsid w:val="00D01CD7"/>
    <w:rsid w:val="00D072F4"/>
    <w:rsid w:val="00D07DB8"/>
    <w:rsid w:val="00D11AB4"/>
    <w:rsid w:val="00D11B8B"/>
    <w:rsid w:val="00D12202"/>
    <w:rsid w:val="00D1225F"/>
    <w:rsid w:val="00D16A0B"/>
    <w:rsid w:val="00D2487C"/>
    <w:rsid w:val="00D30AFF"/>
    <w:rsid w:val="00D311B3"/>
    <w:rsid w:val="00D31C36"/>
    <w:rsid w:val="00D33F18"/>
    <w:rsid w:val="00D41C07"/>
    <w:rsid w:val="00D47875"/>
    <w:rsid w:val="00D60052"/>
    <w:rsid w:val="00D63F15"/>
    <w:rsid w:val="00D6731E"/>
    <w:rsid w:val="00D7051F"/>
    <w:rsid w:val="00D75297"/>
    <w:rsid w:val="00D83125"/>
    <w:rsid w:val="00D97BE5"/>
    <w:rsid w:val="00DA0CDE"/>
    <w:rsid w:val="00DA4493"/>
    <w:rsid w:val="00DA5B0A"/>
    <w:rsid w:val="00DB2CB2"/>
    <w:rsid w:val="00DC0010"/>
    <w:rsid w:val="00DC4E52"/>
    <w:rsid w:val="00DC70F1"/>
    <w:rsid w:val="00DD29C0"/>
    <w:rsid w:val="00DE2259"/>
    <w:rsid w:val="00DE25CE"/>
    <w:rsid w:val="00DE3F89"/>
    <w:rsid w:val="00DF17DE"/>
    <w:rsid w:val="00DF4675"/>
    <w:rsid w:val="00E00A9C"/>
    <w:rsid w:val="00E011F4"/>
    <w:rsid w:val="00E0209C"/>
    <w:rsid w:val="00E16B59"/>
    <w:rsid w:val="00E22DFF"/>
    <w:rsid w:val="00E259D4"/>
    <w:rsid w:val="00E34A86"/>
    <w:rsid w:val="00E35B5E"/>
    <w:rsid w:val="00E41B88"/>
    <w:rsid w:val="00E46665"/>
    <w:rsid w:val="00E478ED"/>
    <w:rsid w:val="00E53327"/>
    <w:rsid w:val="00E564DE"/>
    <w:rsid w:val="00E56A4C"/>
    <w:rsid w:val="00E63093"/>
    <w:rsid w:val="00E66643"/>
    <w:rsid w:val="00E67E89"/>
    <w:rsid w:val="00E7291A"/>
    <w:rsid w:val="00E75194"/>
    <w:rsid w:val="00E757D4"/>
    <w:rsid w:val="00E80A2F"/>
    <w:rsid w:val="00E87212"/>
    <w:rsid w:val="00E8773C"/>
    <w:rsid w:val="00E9142F"/>
    <w:rsid w:val="00EA08F9"/>
    <w:rsid w:val="00EA6586"/>
    <w:rsid w:val="00EB35F6"/>
    <w:rsid w:val="00EC2301"/>
    <w:rsid w:val="00EC697C"/>
    <w:rsid w:val="00EC6ADC"/>
    <w:rsid w:val="00EC7214"/>
    <w:rsid w:val="00ED018C"/>
    <w:rsid w:val="00ED081F"/>
    <w:rsid w:val="00EE5C8A"/>
    <w:rsid w:val="00EF261F"/>
    <w:rsid w:val="00EF53AF"/>
    <w:rsid w:val="00F000FF"/>
    <w:rsid w:val="00F02EA9"/>
    <w:rsid w:val="00F0423B"/>
    <w:rsid w:val="00F10A80"/>
    <w:rsid w:val="00F11E90"/>
    <w:rsid w:val="00F17C65"/>
    <w:rsid w:val="00F24CA3"/>
    <w:rsid w:val="00F24CBE"/>
    <w:rsid w:val="00F2504A"/>
    <w:rsid w:val="00F257F5"/>
    <w:rsid w:val="00F25BAB"/>
    <w:rsid w:val="00F30660"/>
    <w:rsid w:val="00F30FC4"/>
    <w:rsid w:val="00F32053"/>
    <w:rsid w:val="00F46BD0"/>
    <w:rsid w:val="00F46CC8"/>
    <w:rsid w:val="00F5371E"/>
    <w:rsid w:val="00F54451"/>
    <w:rsid w:val="00F54E52"/>
    <w:rsid w:val="00F61D25"/>
    <w:rsid w:val="00F66B99"/>
    <w:rsid w:val="00F70A11"/>
    <w:rsid w:val="00F7497A"/>
    <w:rsid w:val="00F80FBD"/>
    <w:rsid w:val="00F84F14"/>
    <w:rsid w:val="00F850FC"/>
    <w:rsid w:val="00F86D71"/>
    <w:rsid w:val="00F97E45"/>
    <w:rsid w:val="00FA2419"/>
    <w:rsid w:val="00FB72FE"/>
    <w:rsid w:val="00FC548E"/>
    <w:rsid w:val="00FE72CC"/>
    <w:rsid w:val="00FF09B2"/>
    <w:rsid w:val="00FF1069"/>
    <w:rsid w:val="00FF26FD"/>
    <w:rsid w:val="0BAD6869"/>
    <w:rsid w:val="0F043548"/>
    <w:rsid w:val="128E5B23"/>
    <w:rsid w:val="139A672E"/>
    <w:rsid w:val="165DC678"/>
    <w:rsid w:val="2490BD6F"/>
    <w:rsid w:val="273D4F5D"/>
    <w:rsid w:val="28016EE0"/>
    <w:rsid w:val="28DDF469"/>
    <w:rsid w:val="2AC25939"/>
    <w:rsid w:val="2ACA22CC"/>
    <w:rsid w:val="2F0015E8"/>
    <w:rsid w:val="302FEB9A"/>
    <w:rsid w:val="30A4BD7B"/>
    <w:rsid w:val="314BE13D"/>
    <w:rsid w:val="319F8C0D"/>
    <w:rsid w:val="369906D7"/>
    <w:rsid w:val="3F2E65F0"/>
    <w:rsid w:val="419CE361"/>
    <w:rsid w:val="45F8C6AA"/>
    <w:rsid w:val="495CD834"/>
    <w:rsid w:val="4997B68E"/>
    <w:rsid w:val="4B4CAF4C"/>
    <w:rsid w:val="4E304957"/>
    <w:rsid w:val="4F120E4D"/>
    <w:rsid w:val="4F8EAAAD"/>
    <w:rsid w:val="56456058"/>
    <w:rsid w:val="5D9B4588"/>
    <w:rsid w:val="744D68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0928"/>
  <w15:docId w15:val="{78482598-686E-4ACF-A0C0-5F56FF03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D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0FF"/>
    <w:pPr>
      <w:tabs>
        <w:tab w:val="center" w:pos="4680"/>
        <w:tab w:val="right" w:pos="9360"/>
      </w:tabs>
    </w:pPr>
  </w:style>
  <w:style w:type="character" w:customStyle="1" w:styleId="HeaderChar">
    <w:name w:val="Header Char"/>
    <w:basedOn w:val="DefaultParagraphFont"/>
    <w:link w:val="Header"/>
    <w:uiPriority w:val="99"/>
    <w:rsid w:val="00F000FF"/>
  </w:style>
  <w:style w:type="paragraph" w:styleId="Footer">
    <w:name w:val="footer"/>
    <w:basedOn w:val="Normal"/>
    <w:link w:val="FooterChar"/>
    <w:uiPriority w:val="99"/>
    <w:unhideWhenUsed/>
    <w:rsid w:val="00F000FF"/>
    <w:pPr>
      <w:tabs>
        <w:tab w:val="center" w:pos="4680"/>
        <w:tab w:val="right" w:pos="9360"/>
      </w:tabs>
    </w:pPr>
  </w:style>
  <w:style w:type="character" w:customStyle="1" w:styleId="FooterChar">
    <w:name w:val="Footer Char"/>
    <w:basedOn w:val="DefaultParagraphFont"/>
    <w:link w:val="Footer"/>
    <w:uiPriority w:val="99"/>
    <w:rsid w:val="00F000FF"/>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4D3BBC"/>
    <w:pPr>
      <w:ind w:left="720"/>
      <w:contextualSpacing/>
    </w:pPr>
  </w:style>
  <w:style w:type="character" w:styleId="Hyperlink">
    <w:name w:val="Hyperlink"/>
    <w:basedOn w:val="DefaultParagraphFont"/>
    <w:uiPriority w:val="99"/>
    <w:unhideWhenUsed/>
    <w:rsid w:val="0052322C"/>
    <w:rPr>
      <w:color w:val="0000FF"/>
      <w:u w:val="single"/>
    </w:rPr>
  </w:style>
  <w:style w:type="character" w:styleId="CommentReference">
    <w:name w:val="annotation reference"/>
    <w:basedOn w:val="DefaultParagraphFont"/>
    <w:uiPriority w:val="99"/>
    <w:semiHidden/>
    <w:unhideWhenUsed/>
    <w:rsid w:val="00FF1069"/>
    <w:rPr>
      <w:sz w:val="16"/>
      <w:szCs w:val="16"/>
    </w:rPr>
  </w:style>
  <w:style w:type="paragraph" w:styleId="CommentText">
    <w:name w:val="annotation text"/>
    <w:basedOn w:val="Normal"/>
    <w:link w:val="CommentTextChar"/>
    <w:uiPriority w:val="99"/>
    <w:unhideWhenUsed/>
    <w:rsid w:val="00FF1069"/>
    <w:rPr>
      <w:sz w:val="20"/>
      <w:szCs w:val="20"/>
    </w:rPr>
  </w:style>
  <w:style w:type="character" w:customStyle="1" w:styleId="CommentTextChar">
    <w:name w:val="Comment Text Char"/>
    <w:basedOn w:val="DefaultParagraphFont"/>
    <w:link w:val="CommentText"/>
    <w:uiPriority w:val="99"/>
    <w:rsid w:val="00FF1069"/>
    <w:rPr>
      <w:sz w:val="20"/>
      <w:szCs w:val="20"/>
    </w:rPr>
  </w:style>
  <w:style w:type="paragraph" w:styleId="CommentSubject">
    <w:name w:val="annotation subject"/>
    <w:basedOn w:val="CommentText"/>
    <w:next w:val="CommentText"/>
    <w:link w:val="CommentSubjectChar"/>
    <w:uiPriority w:val="99"/>
    <w:semiHidden/>
    <w:unhideWhenUsed/>
    <w:rsid w:val="00FF1069"/>
    <w:rPr>
      <w:b/>
      <w:bCs/>
    </w:rPr>
  </w:style>
  <w:style w:type="character" w:customStyle="1" w:styleId="CommentSubjectChar">
    <w:name w:val="Comment Subject Char"/>
    <w:basedOn w:val="CommentTextChar"/>
    <w:link w:val="CommentSubject"/>
    <w:uiPriority w:val="99"/>
    <w:semiHidden/>
    <w:rsid w:val="00FF1069"/>
    <w:rPr>
      <w:b/>
      <w:bCs/>
      <w:sz w:val="20"/>
      <w:szCs w:val="20"/>
    </w:rPr>
  </w:style>
  <w:style w:type="paragraph" w:styleId="BalloonText">
    <w:name w:val="Balloon Text"/>
    <w:basedOn w:val="Normal"/>
    <w:link w:val="BalloonTextChar"/>
    <w:uiPriority w:val="99"/>
    <w:semiHidden/>
    <w:unhideWhenUsed/>
    <w:rsid w:val="00FF1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069"/>
    <w:rPr>
      <w:rFonts w:ascii="Segoe UI" w:hAnsi="Segoe UI" w:cs="Segoe UI"/>
      <w:sz w:val="18"/>
      <w:szCs w:val="18"/>
    </w:rPr>
  </w:style>
  <w:style w:type="character" w:styleId="UnresolvedMention">
    <w:name w:val="Unresolved Mention"/>
    <w:basedOn w:val="DefaultParagraphFont"/>
    <w:uiPriority w:val="99"/>
    <w:semiHidden/>
    <w:unhideWhenUsed/>
    <w:rsid w:val="005A76B7"/>
    <w:rPr>
      <w:color w:val="605E5C"/>
      <w:shd w:val="clear" w:color="auto" w:fill="E1DFDD"/>
    </w:rPr>
  </w:style>
  <w:style w:type="paragraph" w:styleId="FootnoteText">
    <w:name w:val="footnote text"/>
    <w:basedOn w:val="Normal"/>
    <w:link w:val="FootnoteTextChar"/>
    <w:uiPriority w:val="99"/>
    <w:semiHidden/>
    <w:unhideWhenUsed/>
    <w:rsid w:val="000367A7"/>
    <w:rPr>
      <w:sz w:val="20"/>
      <w:szCs w:val="20"/>
    </w:rPr>
  </w:style>
  <w:style w:type="character" w:customStyle="1" w:styleId="FootnoteTextChar">
    <w:name w:val="Footnote Text Char"/>
    <w:basedOn w:val="DefaultParagraphFont"/>
    <w:link w:val="FootnoteText"/>
    <w:uiPriority w:val="99"/>
    <w:semiHidden/>
    <w:rsid w:val="000367A7"/>
    <w:rPr>
      <w:sz w:val="20"/>
      <w:szCs w:val="20"/>
    </w:rPr>
  </w:style>
  <w:style w:type="character" w:styleId="FootnoteReference">
    <w:name w:val="footnote reference"/>
    <w:basedOn w:val="DefaultParagraphFont"/>
    <w:uiPriority w:val="99"/>
    <w:semiHidden/>
    <w:unhideWhenUsed/>
    <w:rsid w:val="000367A7"/>
    <w:rPr>
      <w:vertAlign w:val="superscript"/>
    </w:rPr>
  </w:style>
  <w:style w:type="paragraph" w:styleId="List3">
    <w:name w:val="List 3"/>
    <w:basedOn w:val="Normal"/>
    <w:uiPriority w:val="99"/>
    <w:semiHidden/>
    <w:unhideWhenUsed/>
    <w:rsid w:val="008167B0"/>
    <w:pPr>
      <w:spacing w:before="120" w:after="120" w:line="256" w:lineRule="auto"/>
      <w:ind w:left="849" w:hanging="283"/>
      <w:contextualSpacing/>
    </w:pPr>
    <w:rPr>
      <w:rFonts w:ascii="Verdana" w:hAnsi="Verdana"/>
      <w:sz w:val="22"/>
      <w:szCs w:val="22"/>
    </w:rPr>
  </w:style>
  <w:style w:type="character" w:customStyle="1" w:styleId="Heading1Char">
    <w:name w:val="Heading 1 Char"/>
    <w:basedOn w:val="DefaultParagraphFont"/>
    <w:link w:val="Heading1"/>
    <w:uiPriority w:val="9"/>
    <w:rsid w:val="00E22DF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65861"/>
    <w:pPr>
      <w:spacing w:before="100" w:beforeAutospacing="1" w:after="100" w:afterAutospacing="1"/>
    </w:pPr>
    <w:rPr>
      <w:rFonts w:ascii="Times New Roman" w:eastAsia="Times New Roman" w:hAnsi="Times New Roman" w:cs="Times New Roman"/>
      <w:lang w:eastAsia="en-AU"/>
    </w:rPr>
  </w:style>
  <w:style w:type="paragraph" w:styleId="Title">
    <w:name w:val="Title"/>
    <w:basedOn w:val="Normal"/>
    <w:next w:val="Normal"/>
    <w:link w:val="TitleChar"/>
    <w:uiPriority w:val="10"/>
    <w:qFormat/>
    <w:rsid w:val="008B28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8EA"/>
    <w:rPr>
      <w:rFonts w:asciiTheme="majorHAnsi" w:eastAsiaTheme="majorEastAsia" w:hAnsiTheme="majorHAnsi" w:cstheme="majorBidi"/>
      <w:spacing w:val="-10"/>
      <w:kern w:val="28"/>
      <w:sz w:val="56"/>
      <w:szCs w:val="56"/>
    </w:rPr>
  </w:style>
  <w:style w:type="paragraph" w:styleId="Revision">
    <w:name w:val="Revision"/>
    <w:hidden/>
    <w:uiPriority w:val="99"/>
    <w:semiHidden/>
    <w:rsid w:val="00BA6165"/>
  </w:style>
  <w:style w:type="character" w:styleId="PlaceholderText">
    <w:name w:val="Placeholder Text"/>
    <w:basedOn w:val="DefaultParagraphFont"/>
    <w:uiPriority w:val="99"/>
    <w:semiHidden/>
    <w:rsid w:val="00C651AA"/>
    <w:rPr>
      <w:color w:val="808080"/>
    </w:rPr>
  </w:style>
  <w:style w:type="paragraph" w:styleId="EndnoteText">
    <w:name w:val="endnote text"/>
    <w:basedOn w:val="Normal"/>
    <w:link w:val="EndnoteTextChar"/>
    <w:uiPriority w:val="99"/>
    <w:semiHidden/>
    <w:unhideWhenUsed/>
    <w:rsid w:val="00DC0010"/>
    <w:rPr>
      <w:sz w:val="20"/>
      <w:szCs w:val="20"/>
    </w:rPr>
  </w:style>
  <w:style w:type="character" w:customStyle="1" w:styleId="EndnoteTextChar">
    <w:name w:val="Endnote Text Char"/>
    <w:basedOn w:val="DefaultParagraphFont"/>
    <w:link w:val="EndnoteText"/>
    <w:uiPriority w:val="99"/>
    <w:semiHidden/>
    <w:rsid w:val="00DC0010"/>
    <w:rPr>
      <w:sz w:val="20"/>
      <w:szCs w:val="20"/>
    </w:rPr>
  </w:style>
  <w:style w:type="character" w:styleId="EndnoteReference">
    <w:name w:val="endnote reference"/>
    <w:basedOn w:val="DefaultParagraphFont"/>
    <w:uiPriority w:val="99"/>
    <w:semiHidden/>
    <w:unhideWhenUsed/>
    <w:rsid w:val="00DC0010"/>
    <w:rPr>
      <w:vertAlign w:val="superscript"/>
    </w:rPr>
  </w:style>
  <w:style w:type="character" w:styleId="FollowedHyperlink">
    <w:name w:val="FollowedHyperlink"/>
    <w:basedOn w:val="DefaultParagraphFont"/>
    <w:uiPriority w:val="99"/>
    <w:semiHidden/>
    <w:unhideWhenUsed/>
    <w:rsid w:val="001968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764">
      <w:bodyDiv w:val="1"/>
      <w:marLeft w:val="0"/>
      <w:marRight w:val="0"/>
      <w:marTop w:val="0"/>
      <w:marBottom w:val="0"/>
      <w:divBdr>
        <w:top w:val="none" w:sz="0" w:space="0" w:color="auto"/>
        <w:left w:val="none" w:sz="0" w:space="0" w:color="auto"/>
        <w:bottom w:val="none" w:sz="0" w:space="0" w:color="auto"/>
        <w:right w:val="none" w:sz="0" w:space="0" w:color="auto"/>
      </w:divBdr>
    </w:div>
    <w:div w:id="137262155">
      <w:bodyDiv w:val="1"/>
      <w:marLeft w:val="0"/>
      <w:marRight w:val="0"/>
      <w:marTop w:val="0"/>
      <w:marBottom w:val="0"/>
      <w:divBdr>
        <w:top w:val="none" w:sz="0" w:space="0" w:color="auto"/>
        <w:left w:val="none" w:sz="0" w:space="0" w:color="auto"/>
        <w:bottom w:val="none" w:sz="0" w:space="0" w:color="auto"/>
        <w:right w:val="none" w:sz="0" w:space="0" w:color="auto"/>
      </w:divBdr>
    </w:div>
    <w:div w:id="160202098">
      <w:bodyDiv w:val="1"/>
      <w:marLeft w:val="0"/>
      <w:marRight w:val="0"/>
      <w:marTop w:val="0"/>
      <w:marBottom w:val="0"/>
      <w:divBdr>
        <w:top w:val="none" w:sz="0" w:space="0" w:color="auto"/>
        <w:left w:val="none" w:sz="0" w:space="0" w:color="auto"/>
        <w:bottom w:val="none" w:sz="0" w:space="0" w:color="auto"/>
        <w:right w:val="none" w:sz="0" w:space="0" w:color="auto"/>
      </w:divBdr>
    </w:div>
    <w:div w:id="239994251">
      <w:bodyDiv w:val="1"/>
      <w:marLeft w:val="0"/>
      <w:marRight w:val="0"/>
      <w:marTop w:val="0"/>
      <w:marBottom w:val="0"/>
      <w:divBdr>
        <w:top w:val="none" w:sz="0" w:space="0" w:color="auto"/>
        <w:left w:val="none" w:sz="0" w:space="0" w:color="auto"/>
        <w:bottom w:val="none" w:sz="0" w:space="0" w:color="auto"/>
        <w:right w:val="none" w:sz="0" w:space="0" w:color="auto"/>
      </w:divBdr>
    </w:div>
    <w:div w:id="255872448">
      <w:bodyDiv w:val="1"/>
      <w:marLeft w:val="0"/>
      <w:marRight w:val="0"/>
      <w:marTop w:val="0"/>
      <w:marBottom w:val="0"/>
      <w:divBdr>
        <w:top w:val="none" w:sz="0" w:space="0" w:color="auto"/>
        <w:left w:val="none" w:sz="0" w:space="0" w:color="auto"/>
        <w:bottom w:val="none" w:sz="0" w:space="0" w:color="auto"/>
        <w:right w:val="none" w:sz="0" w:space="0" w:color="auto"/>
      </w:divBdr>
    </w:div>
    <w:div w:id="374425086">
      <w:bodyDiv w:val="1"/>
      <w:marLeft w:val="0"/>
      <w:marRight w:val="0"/>
      <w:marTop w:val="0"/>
      <w:marBottom w:val="0"/>
      <w:divBdr>
        <w:top w:val="none" w:sz="0" w:space="0" w:color="auto"/>
        <w:left w:val="none" w:sz="0" w:space="0" w:color="auto"/>
        <w:bottom w:val="none" w:sz="0" w:space="0" w:color="auto"/>
        <w:right w:val="none" w:sz="0" w:space="0" w:color="auto"/>
      </w:divBdr>
    </w:div>
    <w:div w:id="408888055">
      <w:bodyDiv w:val="1"/>
      <w:marLeft w:val="0"/>
      <w:marRight w:val="0"/>
      <w:marTop w:val="0"/>
      <w:marBottom w:val="0"/>
      <w:divBdr>
        <w:top w:val="none" w:sz="0" w:space="0" w:color="auto"/>
        <w:left w:val="none" w:sz="0" w:space="0" w:color="auto"/>
        <w:bottom w:val="none" w:sz="0" w:space="0" w:color="auto"/>
        <w:right w:val="none" w:sz="0" w:space="0" w:color="auto"/>
      </w:divBdr>
    </w:div>
    <w:div w:id="423040445">
      <w:bodyDiv w:val="1"/>
      <w:marLeft w:val="0"/>
      <w:marRight w:val="0"/>
      <w:marTop w:val="0"/>
      <w:marBottom w:val="0"/>
      <w:divBdr>
        <w:top w:val="none" w:sz="0" w:space="0" w:color="auto"/>
        <w:left w:val="none" w:sz="0" w:space="0" w:color="auto"/>
        <w:bottom w:val="none" w:sz="0" w:space="0" w:color="auto"/>
        <w:right w:val="none" w:sz="0" w:space="0" w:color="auto"/>
      </w:divBdr>
    </w:div>
    <w:div w:id="621811393">
      <w:bodyDiv w:val="1"/>
      <w:marLeft w:val="0"/>
      <w:marRight w:val="0"/>
      <w:marTop w:val="0"/>
      <w:marBottom w:val="0"/>
      <w:divBdr>
        <w:top w:val="none" w:sz="0" w:space="0" w:color="auto"/>
        <w:left w:val="none" w:sz="0" w:space="0" w:color="auto"/>
        <w:bottom w:val="none" w:sz="0" w:space="0" w:color="auto"/>
        <w:right w:val="none" w:sz="0" w:space="0" w:color="auto"/>
      </w:divBdr>
    </w:div>
    <w:div w:id="728384020">
      <w:bodyDiv w:val="1"/>
      <w:marLeft w:val="0"/>
      <w:marRight w:val="0"/>
      <w:marTop w:val="0"/>
      <w:marBottom w:val="0"/>
      <w:divBdr>
        <w:top w:val="none" w:sz="0" w:space="0" w:color="auto"/>
        <w:left w:val="none" w:sz="0" w:space="0" w:color="auto"/>
        <w:bottom w:val="none" w:sz="0" w:space="0" w:color="auto"/>
        <w:right w:val="none" w:sz="0" w:space="0" w:color="auto"/>
      </w:divBdr>
    </w:div>
    <w:div w:id="856768727">
      <w:bodyDiv w:val="1"/>
      <w:marLeft w:val="0"/>
      <w:marRight w:val="0"/>
      <w:marTop w:val="0"/>
      <w:marBottom w:val="0"/>
      <w:divBdr>
        <w:top w:val="none" w:sz="0" w:space="0" w:color="auto"/>
        <w:left w:val="none" w:sz="0" w:space="0" w:color="auto"/>
        <w:bottom w:val="none" w:sz="0" w:space="0" w:color="auto"/>
        <w:right w:val="none" w:sz="0" w:space="0" w:color="auto"/>
      </w:divBdr>
    </w:div>
    <w:div w:id="910702501">
      <w:bodyDiv w:val="1"/>
      <w:marLeft w:val="0"/>
      <w:marRight w:val="0"/>
      <w:marTop w:val="0"/>
      <w:marBottom w:val="0"/>
      <w:divBdr>
        <w:top w:val="none" w:sz="0" w:space="0" w:color="auto"/>
        <w:left w:val="none" w:sz="0" w:space="0" w:color="auto"/>
        <w:bottom w:val="none" w:sz="0" w:space="0" w:color="auto"/>
        <w:right w:val="none" w:sz="0" w:space="0" w:color="auto"/>
      </w:divBdr>
    </w:div>
    <w:div w:id="1011176633">
      <w:bodyDiv w:val="1"/>
      <w:marLeft w:val="0"/>
      <w:marRight w:val="0"/>
      <w:marTop w:val="0"/>
      <w:marBottom w:val="0"/>
      <w:divBdr>
        <w:top w:val="none" w:sz="0" w:space="0" w:color="auto"/>
        <w:left w:val="none" w:sz="0" w:space="0" w:color="auto"/>
        <w:bottom w:val="none" w:sz="0" w:space="0" w:color="auto"/>
        <w:right w:val="none" w:sz="0" w:space="0" w:color="auto"/>
      </w:divBdr>
      <w:divsChild>
        <w:div w:id="1054044436">
          <w:marLeft w:val="0"/>
          <w:marRight w:val="0"/>
          <w:marTop w:val="0"/>
          <w:marBottom w:val="0"/>
          <w:divBdr>
            <w:top w:val="none" w:sz="0" w:space="0" w:color="auto"/>
            <w:left w:val="none" w:sz="0" w:space="0" w:color="auto"/>
            <w:bottom w:val="none" w:sz="0" w:space="0" w:color="auto"/>
            <w:right w:val="none" w:sz="0" w:space="0" w:color="auto"/>
          </w:divBdr>
        </w:div>
      </w:divsChild>
    </w:div>
    <w:div w:id="1026756877">
      <w:bodyDiv w:val="1"/>
      <w:marLeft w:val="0"/>
      <w:marRight w:val="0"/>
      <w:marTop w:val="0"/>
      <w:marBottom w:val="0"/>
      <w:divBdr>
        <w:top w:val="none" w:sz="0" w:space="0" w:color="auto"/>
        <w:left w:val="none" w:sz="0" w:space="0" w:color="auto"/>
        <w:bottom w:val="none" w:sz="0" w:space="0" w:color="auto"/>
        <w:right w:val="none" w:sz="0" w:space="0" w:color="auto"/>
      </w:divBdr>
    </w:div>
    <w:div w:id="1053430983">
      <w:bodyDiv w:val="1"/>
      <w:marLeft w:val="0"/>
      <w:marRight w:val="0"/>
      <w:marTop w:val="0"/>
      <w:marBottom w:val="0"/>
      <w:divBdr>
        <w:top w:val="none" w:sz="0" w:space="0" w:color="auto"/>
        <w:left w:val="none" w:sz="0" w:space="0" w:color="auto"/>
        <w:bottom w:val="none" w:sz="0" w:space="0" w:color="auto"/>
        <w:right w:val="none" w:sz="0" w:space="0" w:color="auto"/>
      </w:divBdr>
    </w:div>
    <w:div w:id="1085373391">
      <w:bodyDiv w:val="1"/>
      <w:marLeft w:val="0"/>
      <w:marRight w:val="0"/>
      <w:marTop w:val="0"/>
      <w:marBottom w:val="0"/>
      <w:divBdr>
        <w:top w:val="none" w:sz="0" w:space="0" w:color="auto"/>
        <w:left w:val="none" w:sz="0" w:space="0" w:color="auto"/>
        <w:bottom w:val="none" w:sz="0" w:space="0" w:color="auto"/>
        <w:right w:val="none" w:sz="0" w:space="0" w:color="auto"/>
      </w:divBdr>
    </w:div>
    <w:div w:id="1115562467">
      <w:bodyDiv w:val="1"/>
      <w:marLeft w:val="0"/>
      <w:marRight w:val="0"/>
      <w:marTop w:val="0"/>
      <w:marBottom w:val="0"/>
      <w:divBdr>
        <w:top w:val="none" w:sz="0" w:space="0" w:color="auto"/>
        <w:left w:val="none" w:sz="0" w:space="0" w:color="auto"/>
        <w:bottom w:val="none" w:sz="0" w:space="0" w:color="auto"/>
        <w:right w:val="none" w:sz="0" w:space="0" w:color="auto"/>
      </w:divBdr>
    </w:div>
    <w:div w:id="1128543995">
      <w:bodyDiv w:val="1"/>
      <w:marLeft w:val="0"/>
      <w:marRight w:val="0"/>
      <w:marTop w:val="0"/>
      <w:marBottom w:val="0"/>
      <w:divBdr>
        <w:top w:val="none" w:sz="0" w:space="0" w:color="auto"/>
        <w:left w:val="none" w:sz="0" w:space="0" w:color="auto"/>
        <w:bottom w:val="none" w:sz="0" w:space="0" w:color="auto"/>
        <w:right w:val="none" w:sz="0" w:space="0" w:color="auto"/>
      </w:divBdr>
    </w:div>
    <w:div w:id="1270237113">
      <w:bodyDiv w:val="1"/>
      <w:marLeft w:val="0"/>
      <w:marRight w:val="0"/>
      <w:marTop w:val="0"/>
      <w:marBottom w:val="0"/>
      <w:divBdr>
        <w:top w:val="none" w:sz="0" w:space="0" w:color="auto"/>
        <w:left w:val="none" w:sz="0" w:space="0" w:color="auto"/>
        <w:bottom w:val="none" w:sz="0" w:space="0" w:color="auto"/>
        <w:right w:val="none" w:sz="0" w:space="0" w:color="auto"/>
      </w:divBdr>
    </w:div>
    <w:div w:id="1275212422">
      <w:bodyDiv w:val="1"/>
      <w:marLeft w:val="0"/>
      <w:marRight w:val="0"/>
      <w:marTop w:val="0"/>
      <w:marBottom w:val="0"/>
      <w:divBdr>
        <w:top w:val="none" w:sz="0" w:space="0" w:color="auto"/>
        <w:left w:val="none" w:sz="0" w:space="0" w:color="auto"/>
        <w:bottom w:val="none" w:sz="0" w:space="0" w:color="auto"/>
        <w:right w:val="none" w:sz="0" w:space="0" w:color="auto"/>
      </w:divBdr>
    </w:div>
    <w:div w:id="1282567740">
      <w:bodyDiv w:val="1"/>
      <w:marLeft w:val="0"/>
      <w:marRight w:val="0"/>
      <w:marTop w:val="0"/>
      <w:marBottom w:val="0"/>
      <w:divBdr>
        <w:top w:val="none" w:sz="0" w:space="0" w:color="auto"/>
        <w:left w:val="none" w:sz="0" w:space="0" w:color="auto"/>
        <w:bottom w:val="none" w:sz="0" w:space="0" w:color="auto"/>
        <w:right w:val="none" w:sz="0" w:space="0" w:color="auto"/>
      </w:divBdr>
    </w:div>
    <w:div w:id="1368217944">
      <w:bodyDiv w:val="1"/>
      <w:marLeft w:val="0"/>
      <w:marRight w:val="0"/>
      <w:marTop w:val="0"/>
      <w:marBottom w:val="0"/>
      <w:divBdr>
        <w:top w:val="none" w:sz="0" w:space="0" w:color="auto"/>
        <w:left w:val="none" w:sz="0" w:space="0" w:color="auto"/>
        <w:bottom w:val="none" w:sz="0" w:space="0" w:color="auto"/>
        <w:right w:val="none" w:sz="0" w:space="0" w:color="auto"/>
      </w:divBdr>
    </w:div>
    <w:div w:id="1537502974">
      <w:bodyDiv w:val="1"/>
      <w:marLeft w:val="0"/>
      <w:marRight w:val="0"/>
      <w:marTop w:val="0"/>
      <w:marBottom w:val="0"/>
      <w:divBdr>
        <w:top w:val="none" w:sz="0" w:space="0" w:color="auto"/>
        <w:left w:val="none" w:sz="0" w:space="0" w:color="auto"/>
        <w:bottom w:val="none" w:sz="0" w:space="0" w:color="auto"/>
        <w:right w:val="none" w:sz="0" w:space="0" w:color="auto"/>
      </w:divBdr>
    </w:div>
    <w:div w:id="1602448316">
      <w:bodyDiv w:val="1"/>
      <w:marLeft w:val="0"/>
      <w:marRight w:val="0"/>
      <w:marTop w:val="0"/>
      <w:marBottom w:val="0"/>
      <w:divBdr>
        <w:top w:val="none" w:sz="0" w:space="0" w:color="auto"/>
        <w:left w:val="none" w:sz="0" w:space="0" w:color="auto"/>
        <w:bottom w:val="none" w:sz="0" w:space="0" w:color="auto"/>
        <w:right w:val="none" w:sz="0" w:space="0" w:color="auto"/>
      </w:divBdr>
    </w:div>
    <w:div w:id="1931616258">
      <w:bodyDiv w:val="1"/>
      <w:marLeft w:val="0"/>
      <w:marRight w:val="0"/>
      <w:marTop w:val="0"/>
      <w:marBottom w:val="0"/>
      <w:divBdr>
        <w:top w:val="none" w:sz="0" w:space="0" w:color="auto"/>
        <w:left w:val="none" w:sz="0" w:space="0" w:color="auto"/>
        <w:bottom w:val="none" w:sz="0" w:space="0" w:color="auto"/>
        <w:right w:val="none" w:sz="0" w:space="0" w:color="auto"/>
      </w:divBdr>
    </w:div>
    <w:div w:id="2140831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yda.org.au/search/details/374/cyda-s-submission-to-the-senate-inquiry-into-the-extent-and-nature-of-pover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yda.org.au/resources/details/297/inquiry-into-the-purpose-intent-and-adequacy-of-the-disability-support-pens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yda.org.au/search/details/216/disability-royal-commission-response-to-rights-and-attitudes-issues-paper" TargetMode="External"/><Relationship Id="rId20" Type="http://schemas.openxmlformats.org/officeDocument/2006/relationships/hyperlink" Target="https://www.cyda.org.au/resources/details/274/cyda-s-submission-to-the-senate-select-committee-on-job-security-young-people-with-disability-and-job-in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yda.org.au/search/details/267/drive-inclusion-and-equity-for-children-and-young-people-with-disability-2021-22-pre-budget-submission"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cyda.org.au/resources/details/354/livedx-2022-series-full-policy-paper-financial-security-and-employ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yda.org.au"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abcb.gov.au/ncc-2022-state-and-territory-adoption-dates" TargetMode="External"/><Relationship Id="rId3" Type="http://schemas.openxmlformats.org/officeDocument/2006/relationships/hyperlink" Target="https://doi.org/10.1080/09687599.2018.1521333" TargetMode="External"/><Relationship Id="rId7" Type="http://schemas.openxmlformats.org/officeDocument/2006/relationships/hyperlink" Target="https://ncc.abcb.gov.au/news/2022/new-livable-housing-design-requirements" TargetMode="External"/><Relationship Id="rId12" Type="http://schemas.openxmlformats.org/officeDocument/2006/relationships/hyperlink" Target="https://www.anglicare.asn.au/wp-content/uploads/2023/04/Rental-Affordability-Snapshot-National-Report.pdf" TargetMode="External"/><Relationship Id="rId2" Type="http://schemas.openxmlformats.org/officeDocument/2006/relationships/hyperlink" Target="https://www.cyda.org.au/search/details/374/cyda-s-submission-to-the-senate-inquiry-into-the-extent-and-nature-of-poverty" TargetMode="External"/><Relationship Id="rId1" Type="http://schemas.openxmlformats.org/officeDocument/2006/relationships/hyperlink" Target="https://www.anglicare.asn.au/wp-content/uploads/2023/04/Rental-Affordability-Snapshot-National-Report.pdf" TargetMode="External"/><Relationship Id="rId6" Type="http://schemas.openxmlformats.org/officeDocument/2006/relationships/hyperlink" Target="https://humanrights.gov.au/our-work/disability-rights/projects/accessible-housing-project" TargetMode="External"/><Relationship Id="rId11" Type="http://schemas.openxmlformats.org/officeDocument/2006/relationships/hyperlink" Target="https://www.legislation.act.gov.au/a/1997-84" TargetMode="External"/><Relationship Id="rId5" Type="http://schemas.openxmlformats.org/officeDocument/2006/relationships/hyperlink" Target="https://www.abs.gov.au/statistics/people/housing/estimating-homelessness-census/latest-release" TargetMode="External"/><Relationship Id="rId10" Type="http://schemas.openxmlformats.org/officeDocument/2006/relationships/hyperlink" Target="https://www.consumer.vic.gov.au/rentincreases" TargetMode="External"/><Relationship Id="rId4" Type="http://schemas.openxmlformats.org/officeDocument/2006/relationships/hyperlink" Target="https://www.anglicare.asn.au/wp-content/uploads/2023/04/Rental-Affordability-Snapshot-National-Report.pdf" TargetMode="External"/><Relationship Id="rId9" Type="http://schemas.openxmlformats.org/officeDocument/2006/relationships/hyperlink" Target="https://www.ahuri.edu.au/analysis/brief/understanding-links-between-mental-health-housing-and-homelessness?gclid=CjwKCAjwt52mBhB5EiwA05YKo4bWeRZRLvtEg7ms5lmRPxzrqt5L6nZLwc0jGOcuTIUZ28yHK0TFARoCWTUQAvD_Bw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7D9A99-623E-479D-ACFD-87A442ECE4FE}"/>
      </w:docPartPr>
      <w:docPartBody>
        <w:p w:rsidR="00F84077" w:rsidRDefault="00282F59">
          <w:r w:rsidRPr="000414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59"/>
    <w:rsid w:val="000312F0"/>
    <w:rsid w:val="00125886"/>
    <w:rsid w:val="001B2AC7"/>
    <w:rsid w:val="001C2D9A"/>
    <w:rsid w:val="00282F59"/>
    <w:rsid w:val="002A408F"/>
    <w:rsid w:val="00404189"/>
    <w:rsid w:val="005D235D"/>
    <w:rsid w:val="007B6D06"/>
    <w:rsid w:val="007D4383"/>
    <w:rsid w:val="00895E13"/>
    <w:rsid w:val="009767D2"/>
    <w:rsid w:val="00B5266B"/>
    <w:rsid w:val="00D753FF"/>
    <w:rsid w:val="00DD1C8F"/>
    <w:rsid w:val="00EA6E1D"/>
    <w:rsid w:val="00F84077"/>
    <w:rsid w:val="00FA203E"/>
    <w:rsid w:val="00FE00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3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8" ma:contentTypeDescription="Create a new document." ma:contentTypeScope="" ma:versionID="9580c4cd8b665e8e6d75bcf6976a5655">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e3a6e8cf11698e8df922e7f8d96ca0d1"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D269D-1478-4B10-9ED3-77EDFA440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A7511-D55E-4927-8118-B7D477096132}">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3.xml><?xml version="1.0" encoding="utf-8"?>
<ds:datastoreItem xmlns:ds="http://schemas.openxmlformats.org/officeDocument/2006/customXml" ds:itemID="{FDA6DBEC-12DD-402A-AE6B-2A7839555990}">
  <ds:schemaRefs>
    <ds:schemaRef ds:uri="http://schemas.microsoft.com/sharepoint/v3/contenttype/forms"/>
  </ds:schemaRefs>
</ds:datastoreItem>
</file>

<file path=customXml/itemProps4.xml><?xml version="1.0" encoding="utf-8"?>
<ds:datastoreItem xmlns:ds="http://schemas.openxmlformats.org/officeDocument/2006/customXml" ds:itemID="{E08654B8-EA1A-4B8F-806C-F9C0F30B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2111</Words>
  <Characters>12034</Characters>
  <Application>Microsoft Office Word</Application>
  <DocSecurity>4</DocSecurity>
  <Lines>100</Lines>
  <Paragraphs>28</Paragraphs>
  <ScaleCrop>false</ScaleCrop>
  <Company/>
  <LinksUpToDate>false</LinksUpToDate>
  <CharactersWithSpaces>14117</CharactersWithSpaces>
  <SharedDoc>false</SharedDoc>
  <HLinks>
    <vt:vector size="114" baseType="variant">
      <vt:variant>
        <vt:i4>7995517</vt:i4>
      </vt:variant>
      <vt:variant>
        <vt:i4>18</vt:i4>
      </vt:variant>
      <vt:variant>
        <vt:i4>0</vt:i4>
      </vt:variant>
      <vt:variant>
        <vt:i4>5</vt:i4>
      </vt:variant>
      <vt:variant>
        <vt:lpwstr>https://www.cyda.org.au/resources/details/274/cyda-s-submission-to-the-senate-select-committee-on-job-security-young-people-with-disability-and-job-insecurity</vt:lpwstr>
      </vt:variant>
      <vt:variant>
        <vt:lpwstr/>
      </vt:variant>
      <vt:variant>
        <vt:i4>458760</vt:i4>
      </vt:variant>
      <vt:variant>
        <vt:i4>15</vt:i4>
      </vt:variant>
      <vt:variant>
        <vt:i4>0</vt:i4>
      </vt:variant>
      <vt:variant>
        <vt:i4>5</vt:i4>
      </vt:variant>
      <vt:variant>
        <vt:lpwstr>https://www.cyda.org.au/resources/details/354/livedx-2022-series-full-policy-paper-financial-security-and-employment</vt:lpwstr>
      </vt:variant>
      <vt:variant>
        <vt:lpwstr/>
      </vt:variant>
      <vt:variant>
        <vt:i4>5046353</vt:i4>
      </vt:variant>
      <vt:variant>
        <vt:i4>12</vt:i4>
      </vt:variant>
      <vt:variant>
        <vt:i4>0</vt:i4>
      </vt:variant>
      <vt:variant>
        <vt:i4>5</vt:i4>
      </vt:variant>
      <vt:variant>
        <vt:lpwstr>https://www.cyda.org.au/search/details/374/cyda-s-submission-to-the-senate-inquiry-into-the-extent-and-nature-of-poverty</vt:lpwstr>
      </vt:variant>
      <vt:variant>
        <vt:lpwstr/>
      </vt:variant>
      <vt:variant>
        <vt:i4>5111900</vt:i4>
      </vt:variant>
      <vt:variant>
        <vt:i4>9</vt:i4>
      </vt:variant>
      <vt:variant>
        <vt:i4>0</vt:i4>
      </vt:variant>
      <vt:variant>
        <vt:i4>5</vt:i4>
      </vt:variant>
      <vt:variant>
        <vt:lpwstr>https://www.cyda.org.au/resources/details/297/inquiry-into-the-purpose-intent-and-adequacy-of-the-disability-support-pension</vt:lpwstr>
      </vt:variant>
      <vt:variant>
        <vt:lpwstr/>
      </vt:variant>
      <vt:variant>
        <vt:i4>6553661</vt:i4>
      </vt:variant>
      <vt:variant>
        <vt:i4>6</vt:i4>
      </vt:variant>
      <vt:variant>
        <vt:i4>0</vt:i4>
      </vt:variant>
      <vt:variant>
        <vt:i4>5</vt:i4>
      </vt:variant>
      <vt:variant>
        <vt:lpwstr>https://www.cyda.org.au/resources/details/238/national-disability-strategy-beyond-2020</vt:lpwstr>
      </vt:variant>
      <vt:variant>
        <vt:lpwstr/>
      </vt:variant>
      <vt:variant>
        <vt:i4>5374028</vt:i4>
      </vt:variant>
      <vt:variant>
        <vt:i4>3</vt:i4>
      </vt:variant>
      <vt:variant>
        <vt:i4>0</vt:i4>
      </vt:variant>
      <vt:variant>
        <vt:i4>5</vt:i4>
      </vt:variant>
      <vt:variant>
        <vt:lpwstr>https://www.cyda.org.au/search/details/267/drive-inclusion-and-equity-for-children-and-young-people-with-disability-2021-22-pre-budget-submission</vt:lpwstr>
      </vt:variant>
      <vt:variant>
        <vt:lpwstr/>
      </vt:variant>
      <vt:variant>
        <vt:i4>6029374</vt:i4>
      </vt:variant>
      <vt:variant>
        <vt:i4>0</vt:i4>
      </vt:variant>
      <vt:variant>
        <vt:i4>0</vt:i4>
      </vt:variant>
      <vt:variant>
        <vt:i4>5</vt:i4>
      </vt:variant>
      <vt:variant>
        <vt:lpwstr>mailto:info@cyda.org.au</vt:lpwstr>
      </vt:variant>
      <vt:variant>
        <vt:lpwstr/>
      </vt:variant>
      <vt:variant>
        <vt:i4>1441865</vt:i4>
      </vt:variant>
      <vt:variant>
        <vt:i4>33</vt:i4>
      </vt:variant>
      <vt:variant>
        <vt:i4>0</vt:i4>
      </vt:variant>
      <vt:variant>
        <vt:i4>5</vt:i4>
      </vt:variant>
      <vt:variant>
        <vt:lpwstr>https://www.anglicare.asn.au/wp-content/uploads/2023/04/Rental-Affordability-Snapshot-National-Report.pdf</vt:lpwstr>
      </vt:variant>
      <vt:variant>
        <vt:lpwstr/>
      </vt:variant>
      <vt:variant>
        <vt:i4>1310733</vt:i4>
      </vt:variant>
      <vt:variant>
        <vt:i4>30</vt:i4>
      </vt:variant>
      <vt:variant>
        <vt:i4>0</vt:i4>
      </vt:variant>
      <vt:variant>
        <vt:i4>5</vt:i4>
      </vt:variant>
      <vt:variant>
        <vt:lpwstr>https://www.legislation.act.gov.au/a/1997-84</vt:lpwstr>
      </vt:variant>
      <vt:variant>
        <vt:lpwstr/>
      </vt:variant>
      <vt:variant>
        <vt:i4>524288</vt:i4>
      </vt:variant>
      <vt:variant>
        <vt:i4>27</vt:i4>
      </vt:variant>
      <vt:variant>
        <vt:i4>0</vt:i4>
      </vt:variant>
      <vt:variant>
        <vt:i4>5</vt:i4>
      </vt:variant>
      <vt:variant>
        <vt:lpwstr>https://www.consumer.vic.gov.au/rentincreases</vt:lpwstr>
      </vt:variant>
      <vt:variant>
        <vt:lpwstr/>
      </vt:variant>
      <vt:variant>
        <vt:i4>1638450</vt:i4>
      </vt:variant>
      <vt:variant>
        <vt:i4>24</vt:i4>
      </vt:variant>
      <vt:variant>
        <vt:i4>0</vt:i4>
      </vt:variant>
      <vt:variant>
        <vt:i4>5</vt:i4>
      </vt:variant>
      <vt:variant>
        <vt:lpwstr>https://www.ahuri.edu.au/analysis/brief/understanding-links-between-mental-health-housing-and-homelessness?gclid=CjwKCAjwt52mBhB5EiwA05YKo4bWeRZRLvtEg7ms5lmRPxzrqt5L6nZLwc0jGOcuTIUZ28yHK0TFARoCWTUQAvD_BwE</vt:lpwstr>
      </vt:variant>
      <vt:variant>
        <vt:lpwstr/>
      </vt:variant>
      <vt:variant>
        <vt:i4>3473449</vt:i4>
      </vt:variant>
      <vt:variant>
        <vt:i4>21</vt:i4>
      </vt:variant>
      <vt:variant>
        <vt:i4>0</vt:i4>
      </vt:variant>
      <vt:variant>
        <vt:i4>5</vt:i4>
      </vt:variant>
      <vt:variant>
        <vt:lpwstr>https://abcb.gov.au/ncc-2022-state-and-territory-adoption-dates</vt:lpwstr>
      </vt:variant>
      <vt:variant>
        <vt:lpwstr/>
      </vt:variant>
      <vt:variant>
        <vt:i4>1572938</vt:i4>
      </vt:variant>
      <vt:variant>
        <vt:i4>18</vt:i4>
      </vt:variant>
      <vt:variant>
        <vt:i4>0</vt:i4>
      </vt:variant>
      <vt:variant>
        <vt:i4>5</vt:i4>
      </vt:variant>
      <vt:variant>
        <vt:lpwstr>https://ncc.abcb.gov.au/news/2022/new-livable-housing-design-requirements</vt:lpwstr>
      </vt:variant>
      <vt:variant>
        <vt:lpwstr/>
      </vt:variant>
      <vt:variant>
        <vt:i4>196690</vt:i4>
      </vt:variant>
      <vt:variant>
        <vt:i4>15</vt:i4>
      </vt:variant>
      <vt:variant>
        <vt:i4>0</vt:i4>
      </vt:variant>
      <vt:variant>
        <vt:i4>5</vt:i4>
      </vt:variant>
      <vt:variant>
        <vt:lpwstr>https://humanrights.gov.au/our-work/disability-rights/projects/accessible-housing-project</vt:lpwstr>
      </vt:variant>
      <vt:variant>
        <vt:lpwstr/>
      </vt:variant>
      <vt:variant>
        <vt:i4>7077994</vt:i4>
      </vt:variant>
      <vt:variant>
        <vt:i4>12</vt:i4>
      </vt:variant>
      <vt:variant>
        <vt:i4>0</vt:i4>
      </vt:variant>
      <vt:variant>
        <vt:i4>5</vt:i4>
      </vt:variant>
      <vt:variant>
        <vt:lpwstr>https://www.abs.gov.au/statistics/people/housing/estimating-homelessness-census/latest-release</vt:lpwstr>
      </vt:variant>
      <vt:variant>
        <vt:lpwstr/>
      </vt:variant>
      <vt:variant>
        <vt:i4>1441865</vt:i4>
      </vt:variant>
      <vt:variant>
        <vt:i4>9</vt:i4>
      </vt:variant>
      <vt:variant>
        <vt:i4>0</vt:i4>
      </vt:variant>
      <vt:variant>
        <vt:i4>5</vt:i4>
      </vt:variant>
      <vt:variant>
        <vt:lpwstr>https://www.anglicare.asn.au/wp-content/uploads/2023/04/Rental-Affordability-Snapshot-National-Report.pdf</vt:lpwstr>
      </vt:variant>
      <vt:variant>
        <vt:lpwstr/>
      </vt:variant>
      <vt:variant>
        <vt:i4>786500</vt:i4>
      </vt:variant>
      <vt:variant>
        <vt:i4>6</vt:i4>
      </vt:variant>
      <vt:variant>
        <vt:i4>0</vt:i4>
      </vt:variant>
      <vt:variant>
        <vt:i4>5</vt:i4>
      </vt:variant>
      <vt:variant>
        <vt:lpwstr>https://doi.org/10.1080/09687599.2018.1521333</vt:lpwstr>
      </vt:variant>
      <vt:variant>
        <vt:lpwstr/>
      </vt:variant>
      <vt:variant>
        <vt:i4>5046353</vt:i4>
      </vt:variant>
      <vt:variant>
        <vt:i4>3</vt:i4>
      </vt:variant>
      <vt:variant>
        <vt:i4>0</vt:i4>
      </vt:variant>
      <vt:variant>
        <vt:i4>5</vt:i4>
      </vt:variant>
      <vt:variant>
        <vt:lpwstr>https://www.cyda.org.au/search/details/374/cyda-s-submission-to-the-senate-inquiry-into-the-extent-and-nature-of-poverty</vt:lpwstr>
      </vt:variant>
      <vt:variant>
        <vt:lpwstr/>
      </vt:variant>
      <vt:variant>
        <vt:i4>1441865</vt:i4>
      </vt:variant>
      <vt:variant>
        <vt:i4>0</vt:i4>
      </vt:variant>
      <vt:variant>
        <vt:i4>0</vt:i4>
      </vt:variant>
      <vt:variant>
        <vt:i4>5</vt:i4>
      </vt:variant>
      <vt:variant>
        <vt:lpwstr>https://www.anglicare.asn.au/wp-content/uploads/2023/04/Rental-Affordability-Snapshot-National-Report.pdf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Ellingworth</dc:creator>
  <cp:keywords/>
  <dc:description/>
  <cp:lastModifiedBy>Joanne Ellingworth</cp:lastModifiedBy>
  <cp:revision>2</cp:revision>
  <cp:lastPrinted>2021-06-12T08:15:00Z</cp:lastPrinted>
  <dcterms:created xsi:type="dcterms:W3CDTF">2023-08-15T04:37:00Z</dcterms:created>
  <dcterms:modified xsi:type="dcterms:W3CDTF">2023-08-15T04:37:00Z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