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0928" w14:textId="77777777" w:rsidR="00F000FF" w:rsidRPr="00AB53F8" w:rsidRDefault="00F000FF">
      <w:pPr>
        <w:rPr>
          <w:rFonts w:ascii="Arial" w:hAnsi="Arial" w:cs="Arial"/>
        </w:rPr>
      </w:pPr>
    </w:p>
    <w:p w14:paraId="031F0929" w14:textId="77777777" w:rsidR="00F000FF" w:rsidRPr="00AB53F8" w:rsidRDefault="00F000FF">
      <w:pPr>
        <w:rPr>
          <w:rFonts w:ascii="Arial" w:hAnsi="Arial" w:cs="Arial"/>
        </w:rPr>
      </w:pPr>
    </w:p>
    <w:p w14:paraId="68F76737" w14:textId="77777777" w:rsidR="001C4615" w:rsidRDefault="001C4615" w:rsidP="00FE4D15">
      <w:pPr>
        <w:rPr>
          <w:rFonts w:ascii="Arial" w:hAnsi="Arial" w:cs="Arial"/>
          <w:color w:val="000000"/>
          <w:sz w:val="22"/>
          <w:szCs w:val="22"/>
          <w:shd w:val="clear" w:color="auto" w:fill="FFFFFF"/>
        </w:rPr>
      </w:pPr>
    </w:p>
    <w:p w14:paraId="6E02CD0E" w14:textId="77777777" w:rsidR="000768AD" w:rsidRDefault="002117A0" w:rsidP="002117A0">
      <w:pPr>
        <w:rPr>
          <w:rFonts w:ascii="Arial" w:hAnsi="Arial" w:cs="Arial"/>
          <w:color w:val="000000"/>
          <w:sz w:val="22"/>
          <w:szCs w:val="22"/>
          <w:shd w:val="clear" w:color="auto" w:fill="FFFFFF"/>
        </w:rPr>
      </w:pPr>
      <w:r w:rsidRPr="002117A0">
        <w:rPr>
          <w:rFonts w:ascii="Arial" w:hAnsi="Arial" w:cs="Arial"/>
          <w:color w:val="000000"/>
          <w:sz w:val="22"/>
          <w:szCs w:val="22"/>
          <w:shd w:val="clear" w:color="auto" w:fill="FFFFFF"/>
        </w:rPr>
        <w:t>Isobel Sloan</w:t>
      </w:r>
    </w:p>
    <w:p w14:paraId="0A558E25" w14:textId="121FEE39" w:rsidR="002117A0" w:rsidRPr="002117A0" w:rsidRDefault="002117A0" w:rsidP="002117A0">
      <w:pPr>
        <w:rPr>
          <w:rFonts w:ascii="Arial" w:hAnsi="Arial" w:cs="Arial"/>
          <w:color w:val="000000"/>
          <w:sz w:val="22"/>
          <w:szCs w:val="22"/>
          <w:shd w:val="clear" w:color="auto" w:fill="FFFFFF"/>
        </w:rPr>
      </w:pPr>
      <w:r w:rsidRPr="002117A0">
        <w:rPr>
          <w:rFonts w:ascii="Arial" w:hAnsi="Arial" w:cs="Arial"/>
          <w:color w:val="000000"/>
          <w:sz w:val="22"/>
          <w:szCs w:val="22"/>
          <w:shd w:val="clear" w:color="auto" w:fill="FFFFFF"/>
        </w:rPr>
        <w:t>Senior Adviser</w:t>
      </w:r>
    </w:p>
    <w:p w14:paraId="0F3ADED0" w14:textId="77777777" w:rsidR="002117A0" w:rsidRPr="002117A0" w:rsidRDefault="002117A0" w:rsidP="002117A0">
      <w:pPr>
        <w:rPr>
          <w:rFonts w:ascii="Arial" w:hAnsi="Arial" w:cs="Arial"/>
          <w:color w:val="000000"/>
          <w:sz w:val="22"/>
          <w:szCs w:val="22"/>
          <w:shd w:val="clear" w:color="auto" w:fill="FFFFFF"/>
        </w:rPr>
      </w:pPr>
      <w:r w:rsidRPr="002117A0">
        <w:rPr>
          <w:rFonts w:ascii="Arial" w:hAnsi="Arial" w:cs="Arial"/>
          <w:color w:val="000000"/>
          <w:sz w:val="22"/>
          <w:szCs w:val="22"/>
          <w:shd w:val="clear" w:color="auto" w:fill="FFFFFF"/>
        </w:rPr>
        <w:t>NDIS Review Secretariat</w:t>
      </w:r>
    </w:p>
    <w:p w14:paraId="719B426B" w14:textId="60827BF8" w:rsidR="006A47B5" w:rsidRPr="00A96E58" w:rsidRDefault="002117A0" w:rsidP="002117A0">
      <w:pPr>
        <w:rPr>
          <w:rFonts w:ascii="Arial" w:hAnsi="Arial" w:cs="Arial"/>
          <w:color w:val="000000"/>
          <w:sz w:val="22"/>
          <w:szCs w:val="22"/>
          <w:shd w:val="clear" w:color="auto" w:fill="FFFFFF"/>
        </w:rPr>
      </w:pPr>
      <w:r w:rsidRPr="002117A0">
        <w:rPr>
          <w:rFonts w:ascii="Arial" w:hAnsi="Arial" w:cs="Arial"/>
          <w:color w:val="000000"/>
          <w:sz w:val="22"/>
          <w:szCs w:val="22"/>
          <w:shd w:val="clear" w:color="auto" w:fill="FFFFFF"/>
        </w:rPr>
        <w:t>Department of the Prime Minister and Cabinet</w:t>
      </w:r>
    </w:p>
    <w:p w14:paraId="535C4F9E" w14:textId="40897544" w:rsidR="006A47B5" w:rsidRPr="00A96E58" w:rsidRDefault="006A47B5" w:rsidP="002365BE">
      <w:pPr>
        <w:rPr>
          <w:rFonts w:ascii="Arial" w:hAnsi="Arial" w:cs="Arial"/>
          <w:color w:val="000000"/>
          <w:sz w:val="22"/>
          <w:szCs w:val="22"/>
          <w:shd w:val="clear" w:color="auto" w:fill="FFFFFF"/>
        </w:rPr>
      </w:pPr>
    </w:p>
    <w:p w14:paraId="63DAE20B" w14:textId="77777777" w:rsidR="002365BE" w:rsidRPr="00A96E58" w:rsidRDefault="002365BE" w:rsidP="002365BE">
      <w:pPr>
        <w:rPr>
          <w:rFonts w:ascii="Arial" w:hAnsi="Arial" w:cs="Arial"/>
          <w:sz w:val="22"/>
          <w:szCs w:val="22"/>
          <w:highlight w:val="yellow"/>
        </w:rPr>
      </w:pPr>
    </w:p>
    <w:p w14:paraId="62D1A109" w14:textId="4F6A83CD" w:rsidR="00506057" w:rsidRPr="00A96E58" w:rsidRDefault="00506057" w:rsidP="00695561">
      <w:pPr>
        <w:jc w:val="both"/>
        <w:rPr>
          <w:rFonts w:ascii="Arial" w:hAnsi="Arial" w:cs="Arial"/>
          <w:b/>
          <w:bCs/>
          <w:sz w:val="22"/>
          <w:szCs w:val="22"/>
        </w:rPr>
      </w:pPr>
      <w:r w:rsidRPr="00A96E58">
        <w:rPr>
          <w:rFonts w:ascii="Arial" w:hAnsi="Arial" w:cs="Arial"/>
          <w:b/>
          <w:bCs/>
          <w:sz w:val="22"/>
          <w:szCs w:val="22"/>
        </w:rPr>
        <w:fldChar w:fldCharType="begin"/>
      </w:r>
      <w:r w:rsidRPr="00A96E58">
        <w:rPr>
          <w:rFonts w:ascii="Arial" w:hAnsi="Arial" w:cs="Arial"/>
          <w:b/>
          <w:bCs/>
          <w:sz w:val="22"/>
          <w:szCs w:val="22"/>
        </w:rPr>
        <w:instrText xml:space="preserve"> DATE \@ "d MMMM yyyy" </w:instrText>
      </w:r>
      <w:r w:rsidRPr="00A96E58">
        <w:rPr>
          <w:rFonts w:ascii="Arial" w:hAnsi="Arial" w:cs="Arial"/>
          <w:b/>
          <w:bCs/>
          <w:sz w:val="22"/>
          <w:szCs w:val="22"/>
        </w:rPr>
        <w:fldChar w:fldCharType="separate"/>
      </w:r>
      <w:r w:rsidR="00D8605A">
        <w:rPr>
          <w:rFonts w:ascii="Arial" w:hAnsi="Arial" w:cs="Arial"/>
          <w:b/>
          <w:bCs/>
          <w:noProof/>
          <w:sz w:val="22"/>
          <w:szCs w:val="22"/>
        </w:rPr>
        <w:t>1 September 2023</w:t>
      </w:r>
      <w:r w:rsidRPr="00A96E58">
        <w:rPr>
          <w:rFonts w:ascii="Arial" w:hAnsi="Arial" w:cs="Arial"/>
          <w:b/>
          <w:bCs/>
          <w:sz w:val="22"/>
          <w:szCs w:val="22"/>
        </w:rPr>
        <w:fldChar w:fldCharType="end"/>
      </w:r>
    </w:p>
    <w:p w14:paraId="04E3CC7A" w14:textId="77777777" w:rsidR="00506057" w:rsidRPr="00A96E58" w:rsidRDefault="00506057" w:rsidP="00695561">
      <w:pPr>
        <w:jc w:val="both"/>
        <w:rPr>
          <w:rFonts w:ascii="Arial" w:hAnsi="Arial" w:cs="Arial"/>
          <w:b/>
          <w:bCs/>
          <w:sz w:val="22"/>
          <w:szCs w:val="22"/>
        </w:rPr>
      </w:pPr>
    </w:p>
    <w:p w14:paraId="42936214" w14:textId="6300A4AB" w:rsidR="00194963" w:rsidRPr="00A96E58" w:rsidRDefault="00FE4D15" w:rsidP="002F1330">
      <w:pPr>
        <w:jc w:val="both"/>
        <w:rPr>
          <w:rFonts w:ascii="Arial" w:hAnsi="Arial" w:cs="Arial"/>
          <w:color w:val="000000"/>
          <w:sz w:val="22"/>
          <w:szCs w:val="22"/>
          <w:shd w:val="clear" w:color="auto" w:fill="FFFFFF"/>
        </w:rPr>
      </w:pPr>
      <w:r w:rsidRPr="00A96E58">
        <w:rPr>
          <w:rFonts w:ascii="Arial" w:hAnsi="Arial" w:cs="Arial"/>
          <w:sz w:val="22"/>
          <w:szCs w:val="22"/>
        </w:rPr>
        <w:t xml:space="preserve">Please accept </w:t>
      </w:r>
      <w:r w:rsidR="009276E7">
        <w:rPr>
          <w:rFonts w:ascii="Arial" w:hAnsi="Arial" w:cs="Arial"/>
          <w:sz w:val="22"/>
          <w:szCs w:val="22"/>
        </w:rPr>
        <w:t xml:space="preserve">this letter </w:t>
      </w:r>
      <w:r w:rsidR="00AB3584">
        <w:rPr>
          <w:rFonts w:ascii="Arial" w:hAnsi="Arial" w:cs="Arial"/>
          <w:sz w:val="22"/>
          <w:szCs w:val="22"/>
        </w:rPr>
        <w:t xml:space="preserve">and response to the </w:t>
      </w:r>
      <w:r w:rsidR="00A63BCB">
        <w:rPr>
          <w:rFonts w:ascii="Arial" w:hAnsi="Arial" w:cs="Arial"/>
          <w:sz w:val="22"/>
          <w:szCs w:val="22"/>
        </w:rPr>
        <w:t>NDIS Safeguarding draft proposals</w:t>
      </w:r>
      <w:r w:rsidR="00AB3584">
        <w:rPr>
          <w:rFonts w:ascii="Arial" w:hAnsi="Arial" w:cs="Arial"/>
          <w:sz w:val="22"/>
          <w:szCs w:val="22"/>
        </w:rPr>
        <w:t xml:space="preserve"> </w:t>
      </w:r>
      <w:r w:rsidR="00872D3B">
        <w:rPr>
          <w:rFonts w:ascii="Arial" w:hAnsi="Arial" w:cs="Arial"/>
          <w:sz w:val="22"/>
          <w:szCs w:val="22"/>
        </w:rPr>
        <w:t>(</w:t>
      </w:r>
      <w:r w:rsidR="007C476D">
        <w:rPr>
          <w:rFonts w:ascii="Arial" w:hAnsi="Arial" w:cs="Arial"/>
          <w:sz w:val="22"/>
          <w:szCs w:val="22"/>
        </w:rPr>
        <w:t xml:space="preserve">refer </w:t>
      </w:r>
      <w:r w:rsidR="00872D3B">
        <w:rPr>
          <w:rFonts w:ascii="Arial" w:hAnsi="Arial" w:cs="Arial"/>
          <w:sz w:val="22"/>
          <w:szCs w:val="22"/>
        </w:rPr>
        <w:t xml:space="preserve">Appendix </w:t>
      </w:r>
      <w:r w:rsidR="00537DE8">
        <w:rPr>
          <w:rFonts w:ascii="Arial" w:hAnsi="Arial" w:cs="Arial"/>
          <w:sz w:val="22"/>
          <w:szCs w:val="22"/>
        </w:rPr>
        <w:t>A</w:t>
      </w:r>
      <w:r w:rsidR="00872D3B">
        <w:rPr>
          <w:rFonts w:ascii="Arial" w:hAnsi="Arial" w:cs="Arial"/>
          <w:sz w:val="22"/>
          <w:szCs w:val="22"/>
        </w:rPr>
        <w:t>)</w:t>
      </w:r>
      <w:r w:rsidR="00484DF3">
        <w:rPr>
          <w:rFonts w:ascii="Arial" w:hAnsi="Arial" w:cs="Arial"/>
          <w:sz w:val="22"/>
          <w:szCs w:val="22"/>
        </w:rPr>
        <w:t xml:space="preserve"> as </w:t>
      </w:r>
      <w:r w:rsidRPr="00A96E58">
        <w:rPr>
          <w:rFonts w:ascii="Arial" w:hAnsi="Arial" w:cs="Arial"/>
          <w:sz w:val="22"/>
          <w:szCs w:val="22"/>
        </w:rPr>
        <w:t xml:space="preserve">Children and Young People with Disability Australia’s </w:t>
      </w:r>
      <w:r w:rsidR="00F81BB2" w:rsidRPr="00A96E58">
        <w:rPr>
          <w:rFonts w:ascii="Arial" w:hAnsi="Arial" w:cs="Arial"/>
          <w:sz w:val="22"/>
          <w:szCs w:val="22"/>
        </w:rPr>
        <w:t xml:space="preserve">(CYDA) </w:t>
      </w:r>
      <w:r w:rsidR="00315C59" w:rsidRPr="00A96E58">
        <w:rPr>
          <w:rFonts w:ascii="Arial" w:hAnsi="Arial" w:cs="Arial"/>
          <w:sz w:val="22"/>
          <w:szCs w:val="22"/>
        </w:rPr>
        <w:t>submission</w:t>
      </w:r>
      <w:r w:rsidR="006C479F" w:rsidRPr="00A96E58">
        <w:rPr>
          <w:rFonts w:ascii="Arial" w:hAnsi="Arial" w:cs="Arial"/>
          <w:sz w:val="22"/>
          <w:szCs w:val="22"/>
        </w:rPr>
        <w:t xml:space="preserve"> </w:t>
      </w:r>
      <w:r w:rsidR="00194963" w:rsidRPr="00A96E58">
        <w:rPr>
          <w:rFonts w:ascii="Arial" w:hAnsi="Arial" w:cs="Arial"/>
          <w:sz w:val="22"/>
          <w:szCs w:val="22"/>
        </w:rPr>
        <w:t xml:space="preserve">to the </w:t>
      </w:r>
      <w:r w:rsidR="00855052">
        <w:rPr>
          <w:rFonts w:ascii="Arial" w:hAnsi="Arial" w:cs="Arial"/>
          <w:color w:val="000000"/>
          <w:sz w:val="22"/>
          <w:szCs w:val="22"/>
          <w:shd w:val="clear" w:color="auto" w:fill="FFFFFF"/>
        </w:rPr>
        <w:t>NDIS Review</w:t>
      </w:r>
      <w:r w:rsidR="005670C4">
        <w:rPr>
          <w:rFonts w:ascii="Arial" w:hAnsi="Arial" w:cs="Arial"/>
          <w:color w:val="000000"/>
          <w:sz w:val="22"/>
          <w:szCs w:val="22"/>
          <w:shd w:val="clear" w:color="auto" w:fill="FFFFFF"/>
        </w:rPr>
        <w:t>’s consultatio</w:t>
      </w:r>
      <w:r w:rsidR="00675DE1">
        <w:rPr>
          <w:rFonts w:ascii="Arial" w:hAnsi="Arial" w:cs="Arial"/>
          <w:color w:val="000000"/>
          <w:sz w:val="22"/>
          <w:szCs w:val="22"/>
          <w:shd w:val="clear" w:color="auto" w:fill="FFFFFF"/>
        </w:rPr>
        <w:t>n</w:t>
      </w:r>
      <w:r w:rsidR="00855052">
        <w:rPr>
          <w:rFonts w:ascii="Arial" w:hAnsi="Arial" w:cs="Arial"/>
          <w:color w:val="000000"/>
          <w:sz w:val="22"/>
          <w:szCs w:val="22"/>
          <w:shd w:val="clear" w:color="auto" w:fill="FFFFFF"/>
        </w:rPr>
        <w:t xml:space="preserve"> </w:t>
      </w:r>
      <w:r w:rsidR="002971E1" w:rsidRPr="00A96E58">
        <w:rPr>
          <w:rFonts w:ascii="Arial" w:hAnsi="Arial" w:cs="Arial"/>
          <w:color w:val="000000"/>
          <w:sz w:val="22"/>
          <w:szCs w:val="22"/>
          <w:shd w:val="clear" w:color="auto" w:fill="FFFFFF"/>
        </w:rPr>
        <w:t>into</w:t>
      </w:r>
      <w:r w:rsidR="00675DE1">
        <w:rPr>
          <w:rFonts w:ascii="Arial" w:hAnsi="Arial" w:cs="Arial"/>
          <w:color w:val="000000"/>
          <w:sz w:val="22"/>
          <w:szCs w:val="22"/>
          <w:shd w:val="clear" w:color="auto" w:fill="FFFFFF"/>
        </w:rPr>
        <w:t xml:space="preserve"> </w:t>
      </w:r>
      <w:r w:rsidR="00675DE1" w:rsidRPr="00675DE1">
        <w:rPr>
          <w:rFonts w:ascii="Arial" w:hAnsi="Arial" w:cs="Arial"/>
          <w:i/>
          <w:iCs/>
          <w:color w:val="000000"/>
          <w:sz w:val="22"/>
          <w:szCs w:val="22"/>
          <w:shd w:val="clear" w:color="auto" w:fill="FFFFFF"/>
        </w:rPr>
        <w:t>NDIS Participant Safeguarding</w:t>
      </w:r>
      <w:r w:rsidR="007841BC" w:rsidRPr="00A96E58">
        <w:rPr>
          <w:rFonts w:ascii="Arial" w:hAnsi="Arial" w:cs="Arial"/>
          <w:color w:val="000000"/>
          <w:sz w:val="22"/>
          <w:szCs w:val="22"/>
          <w:shd w:val="clear" w:color="auto" w:fill="FFFFFF"/>
        </w:rPr>
        <w:t>.</w:t>
      </w:r>
    </w:p>
    <w:p w14:paraId="40A8C5F1" w14:textId="77777777" w:rsidR="00D60C9A" w:rsidRPr="00A96E58" w:rsidRDefault="00D60C9A" w:rsidP="002F1330">
      <w:pPr>
        <w:jc w:val="both"/>
        <w:rPr>
          <w:rFonts w:ascii="Arial" w:hAnsi="Arial" w:cs="Arial"/>
          <w:color w:val="000000"/>
          <w:sz w:val="22"/>
          <w:szCs w:val="22"/>
          <w:shd w:val="clear" w:color="auto" w:fill="FFFFFF"/>
        </w:rPr>
      </w:pPr>
    </w:p>
    <w:p w14:paraId="735543AC" w14:textId="5C3E55E9" w:rsidR="00BB5A6B" w:rsidRPr="00BB5A6B" w:rsidRDefault="00BB5A6B" w:rsidP="00BB5A6B">
      <w:pPr>
        <w:jc w:val="both"/>
        <w:rPr>
          <w:rFonts w:ascii="Arial" w:hAnsi="Arial" w:cs="Arial"/>
          <w:sz w:val="22"/>
          <w:szCs w:val="22"/>
        </w:rPr>
      </w:pPr>
      <w:r w:rsidRPr="00BB5A6B">
        <w:rPr>
          <w:rFonts w:ascii="Arial" w:hAnsi="Arial" w:cs="Arial"/>
          <w:sz w:val="22"/>
          <w:szCs w:val="22"/>
        </w:rPr>
        <w:t xml:space="preserve">Children and young people with disability are a particularly vulnerable group where abuse and neglect </w:t>
      </w:r>
      <w:proofErr w:type="gramStart"/>
      <w:r w:rsidRPr="00BB5A6B">
        <w:rPr>
          <w:rFonts w:ascii="Arial" w:hAnsi="Arial" w:cs="Arial"/>
          <w:sz w:val="22"/>
          <w:szCs w:val="22"/>
        </w:rPr>
        <w:t>is</w:t>
      </w:r>
      <w:proofErr w:type="gramEnd"/>
      <w:r w:rsidRPr="00BB5A6B">
        <w:rPr>
          <w:rFonts w:ascii="Arial" w:hAnsi="Arial" w:cs="Arial"/>
          <w:sz w:val="22"/>
          <w:szCs w:val="22"/>
        </w:rPr>
        <w:t xml:space="preserve"> concerned. C</w:t>
      </w:r>
      <w:r w:rsidR="00AF5994">
        <w:rPr>
          <w:rFonts w:ascii="Arial" w:hAnsi="Arial" w:cs="Arial"/>
          <w:sz w:val="22"/>
          <w:szCs w:val="22"/>
        </w:rPr>
        <w:t>Y</w:t>
      </w:r>
      <w:r w:rsidRPr="00BB5A6B">
        <w:rPr>
          <w:rFonts w:ascii="Arial" w:hAnsi="Arial" w:cs="Arial"/>
          <w:sz w:val="22"/>
          <w:szCs w:val="22"/>
        </w:rPr>
        <w:t xml:space="preserve">DA frequently hears of experiences of abuse in a range of settings. These include children being subjected to violence, </w:t>
      </w:r>
      <w:proofErr w:type="gramStart"/>
      <w:r w:rsidRPr="00BB5A6B">
        <w:rPr>
          <w:rFonts w:ascii="Arial" w:hAnsi="Arial" w:cs="Arial"/>
          <w:sz w:val="22"/>
          <w:szCs w:val="22"/>
        </w:rPr>
        <w:t>seclusion</w:t>
      </w:r>
      <w:proofErr w:type="gramEnd"/>
      <w:r w:rsidRPr="00BB5A6B">
        <w:rPr>
          <w:rFonts w:ascii="Arial" w:hAnsi="Arial" w:cs="Arial"/>
          <w:sz w:val="22"/>
          <w:szCs w:val="22"/>
        </w:rPr>
        <w:t xml:space="preserve"> and chemical, mechanical and physical restraint without accompanying positive behaviour support strategies in place.</w:t>
      </w:r>
    </w:p>
    <w:p w14:paraId="291212AD" w14:textId="77777777" w:rsidR="00BB5A6B" w:rsidRPr="00BB5A6B" w:rsidRDefault="00BB5A6B" w:rsidP="00BB5A6B">
      <w:pPr>
        <w:jc w:val="both"/>
        <w:rPr>
          <w:rFonts w:ascii="Arial" w:hAnsi="Arial" w:cs="Arial"/>
          <w:sz w:val="22"/>
          <w:szCs w:val="22"/>
        </w:rPr>
      </w:pPr>
    </w:p>
    <w:p w14:paraId="35632D9F" w14:textId="496FA407" w:rsidR="00BB5A6B" w:rsidRDefault="00BB5A6B" w:rsidP="00BB5A6B">
      <w:pPr>
        <w:jc w:val="both"/>
        <w:rPr>
          <w:rFonts w:ascii="Arial" w:hAnsi="Arial" w:cs="Arial"/>
          <w:sz w:val="22"/>
          <w:szCs w:val="22"/>
        </w:rPr>
      </w:pPr>
      <w:r w:rsidRPr="00BB5A6B">
        <w:rPr>
          <w:rFonts w:ascii="Arial" w:hAnsi="Arial" w:cs="Arial"/>
          <w:sz w:val="22"/>
          <w:szCs w:val="22"/>
        </w:rPr>
        <w:t>The typical experience of abuse reported by C</w:t>
      </w:r>
      <w:r w:rsidR="00892020">
        <w:rPr>
          <w:rFonts w:ascii="Arial" w:hAnsi="Arial" w:cs="Arial"/>
          <w:sz w:val="22"/>
          <w:szCs w:val="22"/>
        </w:rPr>
        <w:t>Y</w:t>
      </w:r>
      <w:r w:rsidRPr="00BB5A6B">
        <w:rPr>
          <w:rFonts w:ascii="Arial" w:hAnsi="Arial" w:cs="Arial"/>
          <w:sz w:val="22"/>
          <w:szCs w:val="22"/>
        </w:rPr>
        <w:t xml:space="preserve">DA members is reflected in available research, which states children with disability are </w:t>
      </w:r>
      <w:r w:rsidR="00BB015F">
        <w:rPr>
          <w:rFonts w:ascii="Arial" w:hAnsi="Arial" w:cs="Arial"/>
          <w:sz w:val="22"/>
          <w:szCs w:val="22"/>
        </w:rPr>
        <w:t>three</w:t>
      </w:r>
      <w:r w:rsidRPr="00BB5A6B">
        <w:rPr>
          <w:rFonts w:ascii="Arial" w:hAnsi="Arial" w:cs="Arial"/>
          <w:sz w:val="22"/>
          <w:szCs w:val="22"/>
        </w:rPr>
        <w:t xml:space="preserve"> times more likely to be abused than other children.  Children with communication difficulties and high behaviour support needs are believed to have a significantly higher risk of experiencing abuse.  </w:t>
      </w:r>
    </w:p>
    <w:p w14:paraId="0E5B378E" w14:textId="77777777" w:rsidR="00B30C8E" w:rsidRDefault="00B30C8E" w:rsidP="00BB5A6B">
      <w:pPr>
        <w:jc w:val="both"/>
        <w:rPr>
          <w:rFonts w:ascii="Arial" w:hAnsi="Arial" w:cs="Arial"/>
          <w:sz w:val="22"/>
          <w:szCs w:val="22"/>
        </w:rPr>
      </w:pPr>
    </w:p>
    <w:p w14:paraId="3C3F1351" w14:textId="00675EB9" w:rsidR="00B30C8E" w:rsidRPr="00B30C8E" w:rsidRDefault="00B30C8E" w:rsidP="00B30C8E">
      <w:pPr>
        <w:jc w:val="both"/>
        <w:rPr>
          <w:rFonts w:ascii="Arial" w:hAnsi="Arial" w:cs="Arial"/>
          <w:sz w:val="22"/>
          <w:szCs w:val="22"/>
        </w:rPr>
      </w:pPr>
      <w:r w:rsidRPr="00B30C8E">
        <w:rPr>
          <w:rFonts w:ascii="Arial" w:hAnsi="Arial" w:cs="Arial"/>
          <w:sz w:val="22"/>
          <w:szCs w:val="22"/>
        </w:rPr>
        <w:t>As a result of system failures and pervasive negative discourses and attitudes about people with disability, children and young people are at heightened risk of experiencing abuse and maltreatment. While the prevalence of abuse is difficult to fully ascertain because of gaps in data collection and reporting, researchers</w:t>
      </w:r>
      <w:r w:rsidRPr="00B30C8E">
        <w:rPr>
          <w:rFonts w:ascii="Arial" w:hAnsi="Arial" w:cs="Arial"/>
          <w:sz w:val="22"/>
          <w:szCs w:val="22"/>
          <w:vertAlign w:val="superscript"/>
        </w:rPr>
        <w:footnoteReference w:id="2"/>
      </w:r>
      <w:r w:rsidRPr="00B30C8E">
        <w:rPr>
          <w:rFonts w:ascii="Arial" w:hAnsi="Arial" w:cs="Arial"/>
          <w:sz w:val="22"/>
          <w:szCs w:val="22"/>
          <w:vertAlign w:val="superscript"/>
        </w:rPr>
        <w:t>,</w:t>
      </w:r>
      <w:r w:rsidRPr="00B30C8E">
        <w:rPr>
          <w:rFonts w:ascii="Arial" w:hAnsi="Arial" w:cs="Arial"/>
          <w:sz w:val="22"/>
          <w:szCs w:val="22"/>
          <w:vertAlign w:val="superscript"/>
        </w:rPr>
        <w:footnoteReference w:id="3"/>
      </w:r>
      <w:r w:rsidRPr="00B30C8E">
        <w:rPr>
          <w:rFonts w:ascii="Arial" w:hAnsi="Arial" w:cs="Arial"/>
          <w:sz w:val="22"/>
          <w:szCs w:val="22"/>
          <w:vertAlign w:val="superscript"/>
        </w:rPr>
        <w:t>,</w:t>
      </w:r>
      <w:r w:rsidRPr="00B30C8E">
        <w:rPr>
          <w:rFonts w:ascii="Arial" w:hAnsi="Arial" w:cs="Arial"/>
          <w:sz w:val="22"/>
          <w:szCs w:val="22"/>
          <w:vertAlign w:val="superscript"/>
        </w:rPr>
        <w:footnoteReference w:id="4"/>
      </w:r>
      <w:r w:rsidRPr="00B30C8E">
        <w:rPr>
          <w:rFonts w:ascii="Arial" w:hAnsi="Arial" w:cs="Arial"/>
          <w:sz w:val="22"/>
          <w:szCs w:val="22"/>
          <w:vertAlign w:val="superscript"/>
        </w:rPr>
        <w:t xml:space="preserve"> </w:t>
      </w:r>
      <w:r w:rsidRPr="00B30C8E">
        <w:rPr>
          <w:rFonts w:ascii="Arial" w:hAnsi="Arial" w:cs="Arial"/>
          <w:sz w:val="22"/>
          <w:szCs w:val="22"/>
        </w:rPr>
        <w:t>have established that:</w:t>
      </w:r>
    </w:p>
    <w:p w14:paraId="5AD4DF05" w14:textId="77777777" w:rsidR="00B30C8E" w:rsidRPr="00B30C8E" w:rsidRDefault="00B30C8E" w:rsidP="00B30C8E">
      <w:pPr>
        <w:numPr>
          <w:ilvl w:val="0"/>
          <w:numId w:val="27"/>
        </w:numPr>
        <w:jc w:val="both"/>
        <w:rPr>
          <w:rFonts w:ascii="Arial" w:hAnsi="Arial" w:cs="Arial"/>
          <w:sz w:val="22"/>
          <w:szCs w:val="22"/>
        </w:rPr>
      </w:pPr>
      <w:r w:rsidRPr="00B30C8E">
        <w:rPr>
          <w:rFonts w:ascii="Arial" w:hAnsi="Arial" w:cs="Arial"/>
          <w:sz w:val="22"/>
          <w:szCs w:val="22"/>
        </w:rPr>
        <w:t xml:space="preserve">Children and young people with disability experience higher rates of violence and abuse than other children, and often experience multiple and ongoing episodes of violence. </w:t>
      </w:r>
    </w:p>
    <w:p w14:paraId="337C9F6E" w14:textId="328FDE10" w:rsidR="00B30C8E" w:rsidRPr="00B30C8E" w:rsidRDefault="00B30C8E" w:rsidP="00B30C8E">
      <w:pPr>
        <w:numPr>
          <w:ilvl w:val="0"/>
          <w:numId w:val="27"/>
        </w:numPr>
        <w:jc w:val="both"/>
        <w:rPr>
          <w:rFonts w:ascii="Arial" w:hAnsi="Arial" w:cs="Arial"/>
          <w:sz w:val="22"/>
          <w:szCs w:val="22"/>
        </w:rPr>
      </w:pPr>
      <w:r w:rsidRPr="00B30C8E">
        <w:rPr>
          <w:rFonts w:ascii="Arial" w:hAnsi="Arial" w:cs="Arial"/>
          <w:sz w:val="22"/>
          <w:szCs w:val="22"/>
        </w:rPr>
        <w:t xml:space="preserve">Compared to their </w:t>
      </w:r>
      <w:r w:rsidR="00780948">
        <w:rPr>
          <w:rFonts w:ascii="Arial" w:hAnsi="Arial" w:cs="Arial"/>
          <w:sz w:val="22"/>
          <w:szCs w:val="22"/>
        </w:rPr>
        <w:t xml:space="preserve">non-disabled </w:t>
      </w:r>
      <w:r w:rsidRPr="00B30C8E">
        <w:rPr>
          <w:rFonts w:ascii="Arial" w:hAnsi="Arial" w:cs="Arial"/>
          <w:sz w:val="22"/>
          <w:szCs w:val="22"/>
        </w:rPr>
        <w:t>peers, children with disability are:</w:t>
      </w:r>
    </w:p>
    <w:p w14:paraId="4EFD05EB" w14:textId="77777777" w:rsidR="00B30C8E" w:rsidRPr="00B30C8E" w:rsidRDefault="00B30C8E" w:rsidP="00B30C8E">
      <w:pPr>
        <w:numPr>
          <w:ilvl w:val="1"/>
          <w:numId w:val="27"/>
        </w:numPr>
        <w:jc w:val="both"/>
        <w:rPr>
          <w:rFonts w:ascii="Arial" w:hAnsi="Arial" w:cs="Arial"/>
          <w:sz w:val="22"/>
          <w:szCs w:val="22"/>
        </w:rPr>
      </w:pPr>
      <w:r w:rsidRPr="00B30C8E">
        <w:rPr>
          <w:rFonts w:ascii="Arial" w:hAnsi="Arial" w:cs="Arial"/>
          <w:sz w:val="22"/>
          <w:szCs w:val="22"/>
        </w:rPr>
        <w:t>at more than three times higher risk of physical violence</w:t>
      </w:r>
    </w:p>
    <w:p w14:paraId="5BD8E2BC" w14:textId="77777777" w:rsidR="00B30C8E" w:rsidRPr="00B30C8E" w:rsidRDefault="00B30C8E" w:rsidP="00B30C8E">
      <w:pPr>
        <w:numPr>
          <w:ilvl w:val="1"/>
          <w:numId w:val="27"/>
        </w:numPr>
        <w:jc w:val="both"/>
        <w:rPr>
          <w:rFonts w:ascii="Arial" w:hAnsi="Arial" w:cs="Arial"/>
          <w:sz w:val="22"/>
          <w:szCs w:val="22"/>
        </w:rPr>
      </w:pPr>
      <w:r w:rsidRPr="00B30C8E">
        <w:rPr>
          <w:rFonts w:ascii="Arial" w:hAnsi="Arial" w:cs="Arial"/>
          <w:sz w:val="22"/>
          <w:szCs w:val="22"/>
        </w:rPr>
        <w:t>at nearly three times higher risk for sexual violence</w:t>
      </w:r>
    </w:p>
    <w:p w14:paraId="2A7F2263" w14:textId="77777777" w:rsidR="00B30C8E" w:rsidRPr="00B30C8E" w:rsidRDefault="00B30C8E" w:rsidP="00B30C8E">
      <w:pPr>
        <w:numPr>
          <w:ilvl w:val="1"/>
          <w:numId w:val="27"/>
        </w:numPr>
        <w:jc w:val="both"/>
        <w:rPr>
          <w:rFonts w:ascii="Arial" w:hAnsi="Arial" w:cs="Arial"/>
          <w:sz w:val="22"/>
          <w:szCs w:val="22"/>
        </w:rPr>
      </w:pPr>
      <w:r w:rsidRPr="00B30C8E">
        <w:rPr>
          <w:rFonts w:ascii="Arial" w:hAnsi="Arial" w:cs="Arial"/>
          <w:sz w:val="22"/>
          <w:szCs w:val="22"/>
        </w:rPr>
        <w:t>over four times higher risk for emotional abuse and neglect.</w:t>
      </w:r>
    </w:p>
    <w:p w14:paraId="38D9FE22" w14:textId="77777777" w:rsidR="00BB5A6B" w:rsidRPr="00BB5A6B" w:rsidRDefault="00BB5A6B" w:rsidP="00BB5A6B">
      <w:pPr>
        <w:jc w:val="both"/>
        <w:rPr>
          <w:rFonts w:ascii="Arial" w:hAnsi="Arial" w:cs="Arial"/>
          <w:sz w:val="22"/>
          <w:szCs w:val="22"/>
        </w:rPr>
      </w:pPr>
    </w:p>
    <w:p w14:paraId="12665158" w14:textId="5745199B" w:rsidR="008A6990" w:rsidRPr="00A96E58" w:rsidRDefault="00BB5A6B" w:rsidP="00BB5A6B">
      <w:pPr>
        <w:jc w:val="both"/>
        <w:rPr>
          <w:rFonts w:ascii="Arial" w:hAnsi="Arial" w:cs="Arial"/>
          <w:color w:val="000000"/>
          <w:sz w:val="22"/>
          <w:szCs w:val="22"/>
          <w:shd w:val="clear" w:color="auto" w:fill="FFFFFF"/>
        </w:rPr>
      </w:pPr>
      <w:r w:rsidRPr="00BB5A6B">
        <w:rPr>
          <w:rFonts w:ascii="Arial" w:hAnsi="Arial" w:cs="Arial"/>
          <w:sz w:val="22"/>
          <w:szCs w:val="22"/>
        </w:rPr>
        <w:t>It is imperative that the</w:t>
      </w:r>
      <w:r w:rsidR="00EA3AF6">
        <w:rPr>
          <w:rFonts w:ascii="Arial" w:hAnsi="Arial" w:cs="Arial"/>
          <w:sz w:val="22"/>
          <w:szCs w:val="22"/>
        </w:rPr>
        <w:t xml:space="preserve"> proposal to provide </w:t>
      </w:r>
      <w:proofErr w:type="gramStart"/>
      <w:r w:rsidR="00EA3AF6">
        <w:rPr>
          <w:rFonts w:ascii="Arial" w:hAnsi="Arial" w:cs="Arial"/>
          <w:sz w:val="22"/>
          <w:szCs w:val="22"/>
        </w:rPr>
        <w:t>safe-guarding</w:t>
      </w:r>
      <w:proofErr w:type="gramEnd"/>
      <w:r w:rsidR="00EA3AF6">
        <w:rPr>
          <w:rFonts w:ascii="Arial" w:hAnsi="Arial" w:cs="Arial"/>
          <w:sz w:val="22"/>
          <w:szCs w:val="22"/>
        </w:rPr>
        <w:t xml:space="preserve"> in the NDIS is</w:t>
      </w:r>
      <w:r w:rsidRPr="00BB5A6B">
        <w:rPr>
          <w:rFonts w:ascii="Arial" w:hAnsi="Arial" w:cs="Arial"/>
          <w:sz w:val="22"/>
          <w:szCs w:val="22"/>
        </w:rPr>
        <w:t xml:space="preserve"> strong, effective, promotes high quality and provides robust safeguards. </w:t>
      </w:r>
      <w:r w:rsidR="00047DDF">
        <w:rPr>
          <w:rFonts w:ascii="Arial" w:hAnsi="Arial" w:cs="Arial"/>
          <w:sz w:val="22"/>
          <w:szCs w:val="22"/>
        </w:rPr>
        <w:t>Our response</w:t>
      </w:r>
      <w:r w:rsidRPr="00BB5A6B">
        <w:rPr>
          <w:rFonts w:ascii="Arial" w:hAnsi="Arial" w:cs="Arial"/>
          <w:sz w:val="22"/>
          <w:szCs w:val="22"/>
        </w:rPr>
        <w:t xml:space="preserve"> focuses on issues of relevance to children and young people with disability. </w:t>
      </w:r>
    </w:p>
    <w:p w14:paraId="4BE42B8B" w14:textId="77777777" w:rsidR="00A9565E" w:rsidRDefault="00A9565E" w:rsidP="002F1330">
      <w:pPr>
        <w:jc w:val="both"/>
        <w:rPr>
          <w:rFonts w:ascii="Arial" w:hAnsi="Arial" w:cs="Arial"/>
          <w:color w:val="000000"/>
          <w:sz w:val="22"/>
          <w:szCs w:val="22"/>
          <w:shd w:val="clear" w:color="auto" w:fill="FFFFFF"/>
        </w:rPr>
      </w:pPr>
    </w:p>
    <w:p w14:paraId="41192039" w14:textId="0EB9D403" w:rsidR="00DD00B6" w:rsidRPr="00A96E58" w:rsidRDefault="00A45F06" w:rsidP="002F1330">
      <w:pPr>
        <w:jc w:val="both"/>
        <w:rPr>
          <w:rFonts w:ascii="Arial" w:hAnsi="Arial" w:cs="Arial"/>
          <w:sz w:val="22"/>
          <w:szCs w:val="22"/>
        </w:rPr>
      </w:pPr>
      <w:r w:rsidRPr="00A96E58">
        <w:rPr>
          <w:rFonts w:ascii="Arial" w:hAnsi="Arial" w:cs="Arial"/>
          <w:sz w:val="22"/>
          <w:szCs w:val="22"/>
        </w:rPr>
        <w:t xml:space="preserve">Without </w:t>
      </w:r>
      <w:r w:rsidR="009A53A8" w:rsidRPr="00A96E58">
        <w:rPr>
          <w:rFonts w:ascii="Arial" w:hAnsi="Arial" w:cs="Arial"/>
          <w:sz w:val="22"/>
          <w:szCs w:val="22"/>
        </w:rPr>
        <w:t xml:space="preserve">targeted and adequate </w:t>
      </w:r>
      <w:r w:rsidR="00363B66" w:rsidRPr="00A96E58">
        <w:rPr>
          <w:rFonts w:ascii="Arial" w:hAnsi="Arial" w:cs="Arial"/>
          <w:sz w:val="22"/>
          <w:szCs w:val="22"/>
        </w:rPr>
        <w:t xml:space="preserve">research, data, </w:t>
      </w:r>
      <w:r w:rsidR="009A53A8" w:rsidRPr="00A96E58">
        <w:rPr>
          <w:rFonts w:ascii="Arial" w:hAnsi="Arial" w:cs="Arial"/>
          <w:sz w:val="22"/>
          <w:szCs w:val="22"/>
        </w:rPr>
        <w:t>policy responses, action and intervention</w:t>
      </w:r>
      <w:r w:rsidRPr="00A96E58">
        <w:rPr>
          <w:rFonts w:ascii="Arial" w:hAnsi="Arial" w:cs="Arial"/>
          <w:sz w:val="22"/>
          <w:szCs w:val="22"/>
        </w:rPr>
        <w:t>, children and</w:t>
      </w:r>
      <w:r w:rsidR="00E70371" w:rsidRPr="00A96E58">
        <w:rPr>
          <w:rFonts w:ascii="Arial" w:hAnsi="Arial" w:cs="Arial"/>
          <w:sz w:val="22"/>
          <w:szCs w:val="22"/>
        </w:rPr>
        <w:t xml:space="preserve"> </w:t>
      </w:r>
      <w:r w:rsidRPr="00A96E58">
        <w:rPr>
          <w:rFonts w:ascii="Arial" w:hAnsi="Arial" w:cs="Arial"/>
          <w:sz w:val="22"/>
          <w:szCs w:val="22"/>
        </w:rPr>
        <w:t>young people will continue to feel</w:t>
      </w:r>
      <w:r w:rsidR="00E70371" w:rsidRPr="00A96E58">
        <w:rPr>
          <w:rFonts w:ascii="Arial" w:hAnsi="Arial" w:cs="Arial"/>
          <w:sz w:val="22"/>
          <w:szCs w:val="22"/>
        </w:rPr>
        <w:t xml:space="preserve"> </w:t>
      </w:r>
      <w:r w:rsidRPr="00A96E58">
        <w:rPr>
          <w:rFonts w:ascii="Arial" w:hAnsi="Arial" w:cs="Arial"/>
          <w:sz w:val="22"/>
          <w:szCs w:val="22"/>
        </w:rPr>
        <w:t xml:space="preserve">the </w:t>
      </w:r>
      <w:r w:rsidR="00A9565E">
        <w:rPr>
          <w:rFonts w:ascii="Arial" w:hAnsi="Arial" w:cs="Arial"/>
          <w:sz w:val="22"/>
          <w:szCs w:val="22"/>
        </w:rPr>
        <w:t xml:space="preserve">safety, </w:t>
      </w:r>
      <w:r w:rsidRPr="00A96E58">
        <w:rPr>
          <w:rFonts w:ascii="Arial" w:hAnsi="Arial" w:cs="Arial"/>
          <w:sz w:val="22"/>
          <w:szCs w:val="22"/>
        </w:rPr>
        <w:t>social and economic impacts</w:t>
      </w:r>
      <w:r w:rsidR="00C70F23" w:rsidRPr="00A96E58">
        <w:rPr>
          <w:rFonts w:ascii="Arial" w:hAnsi="Arial" w:cs="Arial"/>
          <w:sz w:val="22"/>
          <w:szCs w:val="22"/>
        </w:rPr>
        <w:t xml:space="preserve"> </w:t>
      </w:r>
      <w:r w:rsidRPr="00A96E58">
        <w:rPr>
          <w:rFonts w:ascii="Arial" w:hAnsi="Arial" w:cs="Arial"/>
          <w:sz w:val="22"/>
          <w:szCs w:val="22"/>
        </w:rPr>
        <w:t>for a lifetime</w:t>
      </w:r>
      <w:r w:rsidR="00E70371" w:rsidRPr="00A96E58">
        <w:rPr>
          <w:rFonts w:ascii="Arial" w:hAnsi="Arial" w:cs="Arial"/>
          <w:sz w:val="22"/>
          <w:szCs w:val="22"/>
        </w:rPr>
        <w:t xml:space="preserve">. </w:t>
      </w:r>
    </w:p>
    <w:p w14:paraId="263C1600" w14:textId="77777777" w:rsidR="00DD00B6" w:rsidRPr="00A96E58" w:rsidRDefault="00DD00B6" w:rsidP="002F1330">
      <w:pPr>
        <w:jc w:val="both"/>
        <w:rPr>
          <w:rFonts w:ascii="Arial" w:hAnsi="Arial" w:cs="Arial"/>
          <w:sz w:val="22"/>
          <w:szCs w:val="22"/>
        </w:rPr>
      </w:pPr>
    </w:p>
    <w:p w14:paraId="350A7D47" w14:textId="759ABEA3" w:rsidR="00775A88" w:rsidRPr="00A96E58" w:rsidRDefault="00F74FD1" w:rsidP="002F1330">
      <w:pPr>
        <w:jc w:val="both"/>
        <w:rPr>
          <w:rFonts w:ascii="Arial" w:hAnsi="Arial" w:cs="Arial"/>
          <w:sz w:val="22"/>
          <w:szCs w:val="22"/>
        </w:rPr>
      </w:pPr>
      <w:r w:rsidRPr="00A96E58">
        <w:rPr>
          <w:rFonts w:ascii="Arial" w:hAnsi="Arial" w:cs="Arial"/>
          <w:sz w:val="22"/>
          <w:szCs w:val="22"/>
        </w:rPr>
        <w:t xml:space="preserve">Please refer to the attached </w:t>
      </w:r>
      <w:r w:rsidRPr="00035B68">
        <w:rPr>
          <w:rFonts w:ascii="Arial" w:hAnsi="Arial" w:cs="Arial"/>
          <w:sz w:val="22"/>
          <w:szCs w:val="22"/>
          <w:u w:val="single"/>
        </w:rPr>
        <w:t xml:space="preserve">Appendix </w:t>
      </w:r>
      <w:r w:rsidR="71E6F19F" w:rsidRPr="00035B68">
        <w:rPr>
          <w:rFonts w:ascii="Arial" w:hAnsi="Arial" w:cs="Arial"/>
          <w:sz w:val="22"/>
          <w:szCs w:val="22"/>
          <w:u w:val="single"/>
        </w:rPr>
        <w:t>A</w:t>
      </w:r>
      <w:r w:rsidR="71E6F19F" w:rsidRPr="00A96E58">
        <w:rPr>
          <w:rFonts w:ascii="Arial" w:hAnsi="Arial" w:cs="Arial"/>
          <w:sz w:val="22"/>
          <w:szCs w:val="22"/>
        </w:rPr>
        <w:t xml:space="preserve"> </w:t>
      </w:r>
      <w:r w:rsidR="00537DE8" w:rsidRPr="00A96E58">
        <w:rPr>
          <w:rFonts w:ascii="Arial" w:hAnsi="Arial" w:cs="Arial"/>
          <w:sz w:val="22"/>
          <w:szCs w:val="22"/>
        </w:rPr>
        <w:t xml:space="preserve">for </w:t>
      </w:r>
      <w:r w:rsidR="009E1AA3">
        <w:rPr>
          <w:rFonts w:ascii="Arial" w:hAnsi="Arial" w:cs="Arial"/>
          <w:sz w:val="22"/>
          <w:szCs w:val="22"/>
        </w:rPr>
        <w:t xml:space="preserve">CYDA’s </w:t>
      </w:r>
      <w:r w:rsidR="00537DE8" w:rsidRPr="00A96E58">
        <w:rPr>
          <w:rFonts w:ascii="Arial" w:hAnsi="Arial" w:cs="Arial"/>
          <w:sz w:val="22"/>
          <w:szCs w:val="22"/>
        </w:rPr>
        <w:t xml:space="preserve">responses to select </w:t>
      </w:r>
      <w:r w:rsidR="00A9565E">
        <w:rPr>
          <w:rFonts w:ascii="Arial" w:hAnsi="Arial" w:cs="Arial"/>
          <w:sz w:val="22"/>
          <w:szCs w:val="22"/>
        </w:rPr>
        <w:t>draft proposal</w:t>
      </w:r>
      <w:r w:rsidR="00CD2352">
        <w:rPr>
          <w:rFonts w:ascii="Arial" w:hAnsi="Arial" w:cs="Arial"/>
          <w:sz w:val="22"/>
          <w:szCs w:val="22"/>
        </w:rPr>
        <w:t>s as outlined in the consultation paper</w:t>
      </w:r>
      <w:r w:rsidRPr="00A96E58">
        <w:rPr>
          <w:rFonts w:ascii="Arial" w:hAnsi="Arial" w:cs="Arial"/>
          <w:sz w:val="22"/>
          <w:szCs w:val="22"/>
        </w:rPr>
        <w:t>.</w:t>
      </w:r>
      <w:r w:rsidR="005C0A1D" w:rsidRPr="00A96E58">
        <w:rPr>
          <w:rFonts w:ascii="Arial" w:hAnsi="Arial" w:cs="Arial"/>
          <w:sz w:val="22"/>
          <w:szCs w:val="22"/>
        </w:rPr>
        <w:t xml:space="preserve"> </w:t>
      </w:r>
      <w:r w:rsidR="00775A88" w:rsidRPr="00A96E58">
        <w:rPr>
          <w:rFonts w:ascii="Arial" w:hAnsi="Arial" w:cs="Arial"/>
          <w:sz w:val="22"/>
          <w:szCs w:val="22"/>
        </w:rPr>
        <w:t xml:space="preserve">If you would like to know more about </w:t>
      </w:r>
      <w:r w:rsidR="003F5BD9" w:rsidRPr="00A96E58">
        <w:rPr>
          <w:rFonts w:ascii="Arial" w:hAnsi="Arial" w:cs="Arial"/>
          <w:sz w:val="22"/>
          <w:szCs w:val="22"/>
        </w:rPr>
        <w:t xml:space="preserve">our </w:t>
      </w:r>
      <w:r w:rsidR="007E1738" w:rsidRPr="00A96E58">
        <w:rPr>
          <w:rFonts w:ascii="Arial" w:hAnsi="Arial" w:cs="Arial"/>
          <w:sz w:val="22"/>
          <w:szCs w:val="22"/>
        </w:rPr>
        <w:t>submission</w:t>
      </w:r>
      <w:r w:rsidR="003F5BD9" w:rsidRPr="00A96E58">
        <w:rPr>
          <w:rFonts w:ascii="Arial" w:hAnsi="Arial" w:cs="Arial"/>
          <w:sz w:val="22"/>
          <w:szCs w:val="22"/>
        </w:rPr>
        <w:t xml:space="preserve"> </w:t>
      </w:r>
      <w:r w:rsidR="00FE4D15" w:rsidRPr="00A96E58">
        <w:rPr>
          <w:rFonts w:ascii="Arial" w:hAnsi="Arial" w:cs="Arial"/>
          <w:sz w:val="22"/>
          <w:szCs w:val="22"/>
        </w:rPr>
        <w:t>or</w:t>
      </w:r>
      <w:r w:rsidR="0023711C" w:rsidRPr="00A96E58">
        <w:rPr>
          <w:rFonts w:ascii="Arial" w:hAnsi="Arial" w:cs="Arial"/>
          <w:sz w:val="22"/>
          <w:szCs w:val="22"/>
        </w:rPr>
        <w:t xml:space="preserve"> CYDA</w:t>
      </w:r>
      <w:r w:rsidR="005A76B7" w:rsidRPr="00A96E58">
        <w:rPr>
          <w:rFonts w:ascii="Arial" w:hAnsi="Arial" w:cs="Arial"/>
          <w:sz w:val="22"/>
          <w:szCs w:val="22"/>
        </w:rPr>
        <w:t>’s work</w:t>
      </w:r>
      <w:r w:rsidR="0023711C" w:rsidRPr="00A96E58">
        <w:rPr>
          <w:rFonts w:ascii="Arial" w:hAnsi="Arial" w:cs="Arial"/>
          <w:sz w:val="22"/>
          <w:szCs w:val="22"/>
        </w:rPr>
        <w:t xml:space="preserve">, please </w:t>
      </w:r>
      <w:r w:rsidR="005A76B7" w:rsidRPr="00A96E58">
        <w:rPr>
          <w:rFonts w:ascii="Arial" w:hAnsi="Arial" w:cs="Arial"/>
          <w:sz w:val="22"/>
          <w:szCs w:val="22"/>
        </w:rPr>
        <w:t xml:space="preserve">feel free to contact </w:t>
      </w:r>
      <w:r w:rsidR="00B20DF9">
        <w:rPr>
          <w:rFonts w:ascii="Arial" w:hAnsi="Arial" w:cs="Arial"/>
          <w:sz w:val="22"/>
          <w:szCs w:val="22"/>
        </w:rPr>
        <w:t>CYDA’s Policy and Research Manager</w:t>
      </w:r>
      <w:r w:rsidR="00C22ED2">
        <w:rPr>
          <w:rFonts w:ascii="Arial" w:hAnsi="Arial" w:cs="Arial"/>
          <w:sz w:val="22"/>
          <w:szCs w:val="22"/>
        </w:rPr>
        <w:t>, Dr Liz Hudson</w:t>
      </w:r>
      <w:r w:rsidR="0012342C" w:rsidRPr="00A96E58">
        <w:rPr>
          <w:rFonts w:ascii="Arial" w:hAnsi="Arial" w:cs="Arial"/>
          <w:sz w:val="22"/>
          <w:szCs w:val="22"/>
        </w:rPr>
        <w:t xml:space="preserve"> </w:t>
      </w:r>
      <w:r w:rsidR="00FE4D15" w:rsidRPr="00A96E58">
        <w:rPr>
          <w:rFonts w:ascii="Arial" w:hAnsi="Arial" w:cs="Arial"/>
          <w:sz w:val="22"/>
          <w:szCs w:val="22"/>
        </w:rPr>
        <w:t xml:space="preserve">on (03) 9417 1025 or </w:t>
      </w:r>
      <w:hyperlink r:id="rId10" w:history="1">
        <w:r w:rsidR="007634D1" w:rsidRPr="00A96E58">
          <w:rPr>
            <w:rStyle w:val="Hyperlink"/>
            <w:rFonts w:ascii="Arial" w:hAnsi="Arial" w:cs="Arial"/>
            <w:sz w:val="22"/>
            <w:szCs w:val="22"/>
          </w:rPr>
          <w:t>lizhudson@cyda.org.au</w:t>
        </w:r>
      </w:hyperlink>
      <w:r w:rsidR="00FE4D15" w:rsidRPr="00A96E58">
        <w:rPr>
          <w:rFonts w:ascii="Arial" w:hAnsi="Arial" w:cs="Arial"/>
          <w:sz w:val="22"/>
          <w:szCs w:val="22"/>
        </w:rPr>
        <w:t>.</w:t>
      </w:r>
    </w:p>
    <w:p w14:paraId="24F38B4F" w14:textId="77777777" w:rsidR="002F1330" w:rsidRPr="00A96E58" w:rsidRDefault="002F1330" w:rsidP="002F1330">
      <w:pPr>
        <w:jc w:val="both"/>
        <w:rPr>
          <w:rFonts w:ascii="Arial" w:hAnsi="Arial" w:cs="Arial"/>
          <w:sz w:val="22"/>
          <w:szCs w:val="22"/>
        </w:rPr>
      </w:pPr>
    </w:p>
    <w:p w14:paraId="6C306938" w14:textId="71861CF7" w:rsidR="00133808" w:rsidRDefault="0023711C" w:rsidP="00D8605A">
      <w:pPr>
        <w:spacing w:after="240"/>
        <w:jc w:val="both"/>
        <w:rPr>
          <w:rFonts w:ascii="Arial" w:hAnsi="Arial" w:cs="Arial"/>
          <w:sz w:val="22"/>
          <w:szCs w:val="22"/>
        </w:rPr>
      </w:pPr>
      <w:r w:rsidRPr="00A96E58">
        <w:rPr>
          <w:rFonts w:ascii="Arial" w:hAnsi="Arial" w:cs="Arial"/>
          <w:sz w:val="22"/>
          <w:szCs w:val="22"/>
        </w:rPr>
        <w:t>Kind regards</w:t>
      </w:r>
      <w:r w:rsidR="00425A0A" w:rsidRPr="00A96E58">
        <w:rPr>
          <w:rFonts w:ascii="Arial" w:hAnsi="Arial" w:cs="Arial"/>
          <w:sz w:val="22"/>
          <w:szCs w:val="22"/>
        </w:rPr>
        <w:t>,</w:t>
      </w:r>
    </w:p>
    <w:p w14:paraId="31553FB2" w14:textId="4DCDD34F" w:rsidR="00640833" w:rsidRPr="00A636B6" w:rsidRDefault="00640833" w:rsidP="00640833">
      <w:pPr>
        <w:rPr>
          <w:rFonts w:ascii="Arial" w:hAnsi="Arial" w:cs="Arial"/>
          <w:sz w:val="22"/>
          <w:szCs w:val="22"/>
        </w:rPr>
      </w:pPr>
      <w:r w:rsidRPr="00A636B6">
        <w:rPr>
          <w:rFonts w:ascii="Arial" w:hAnsi="Arial" w:cs="Arial"/>
          <w:sz w:val="22"/>
          <w:szCs w:val="22"/>
        </w:rPr>
        <w:t xml:space="preserve">Skye </w:t>
      </w:r>
      <w:proofErr w:type="spellStart"/>
      <w:r w:rsidRPr="00A636B6">
        <w:rPr>
          <w:rFonts w:ascii="Arial" w:hAnsi="Arial" w:cs="Arial"/>
          <w:sz w:val="22"/>
          <w:szCs w:val="22"/>
        </w:rPr>
        <w:t>Kakoschke</w:t>
      </w:r>
      <w:proofErr w:type="spellEnd"/>
      <w:r w:rsidRPr="00A636B6">
        <w:rPr>
          <w:rFonts w:ascii="Arial" w:hAnsi="Arial" w:cs="Arial"/>
          <w:sz w:val="22"/>
          <w:szCs w:val="22"/>
        </w:rPr>
        <w:t>-Moore</w:t>
      </w:r>
    </w:p>
    <w:p w14:paraId="6A6FDA84" w14:textId="33654589" w:rsidR="00AC5E9C" w:rsidRDefault="00640833" w:rsidP="00640833">
      <w:pPr>
        <w:rPr>
          <w:rFonts w:ascii="Arial" w:hAnsi="Arial" w:cs="Arial"/>
          <w:sz w:val="22"/>
          <w:szCs w:val="22"/>
        </w:rPr>
      </w:pPr>
      <w:r w:rsidRPr="00A636B6">
        <w:rPr>
          <w:rFonts w:ascii="Arial" w:hAnsi="Arial" w:cs="Arial"/>
          <w:sz w:val="22"/>
          <w:szCs w:val="22"/>
        </w:rPr>
        <w:t>Chief Executive Officer</w:t>
      </w:r>
    </w:p>
    <w:p w14:paraId="4F29723C" w14:textId="77777777" w:rsidR="00AC5E9C" w:rsidRDefault="00AC5E9C">
      <w:pPr>
        <w:rPr>
          <w:rFonts w:ascii="Arial" w:hAnsi="Arial" w:cs="Arial"/>
          <w:sz w:val="22"/>
          <w:szCs w:val="22"/>
        </w:rPr>
      </w:pPr>
      <w:r>
        <w:rPr>
          <w:rFonts w:ascii="Arial" w:hAnsi="Arial" w:cs="Arial"/>
          <w:sz w:val="22"/>
          <w:szCs w:val="22"/>
        </w:rPr>
        <w:br w:type="page"/>
      </w:r>
    </w:p>
    <w:p w14:paraId="1370B7CA" w14:textId="77777777" w:rsidR="006B1739" w:rsidRDefault="006B1739" w:rsidP="00640833">
      <w:pPr>
        <w:rPr>
          <w:rFonts w:ascii="Arial" w:hAnsi="Arial" w:cs="Arial"/>
          <w:sz w:val="22"/>
          <w:szCs w:val="22"/>
        </w:rPr>
        <w:sectPr w:rsidR="006B1739" w:rsidSect="00F000FF">
          <w:footerReference w:type="default" r:id="rId11"/>
          <w:headerReference w:type="first" r:id="rId12"/>
          <w:pgSz w:w="11900" w:h="16840"/>
          <w:pgMar w:top="1440" w:right="1440" w:bottom="1440" w:left="1440" w:header="708" w:footer="708" w:gutter="0"/>
          <w:cols w:space="708"/>
          <w:titlePg/>
          <w:docGrid w:linePitch="360"/>
        </w:sectPr>
      </w:pPr>
    </w:p>
    <w:p w14:paraId="48139C70" w14:textId="77777777" w:rsidR="00640833" w:rsidRPr="00A636B6" w:rsidRDefault="00640833" w:rsidP="00640833">
      <w:pPr>
        <w:rPr>
          <w:rFonts w:ascii="Arial" w:hAnsi="Arial" w:cs="Arial"/>
          <w:sz w:val="22"/>
          <w:szCs w:val="22"/>
        </w:rPr>
      </w:pPr>
    </w:p>
    <w:p w14:paraId="57BC1736" w14:textId="5C030420" w:rsidR="00F96E83" w:rsidRDefault="00F96E83" w:rsidP="00F96E83">
      <w:pPr>
        <w:pStyle w:val="Heading1"/>
        <w:rPr>
          <w:color w:val="385623" w:themeColor="accent6" w:themeShade="80"/>
        </w:rPr>
      </w:pPr>
      <w:r w:rsidRPr="1A261643">
        <w:rPr>
          <w:color w:val="385623" w:themeColor="accent6" w:themeShade="80"/>
        </w:rPr>
        <w:t xml:space="preserve">Appendix </w:t>
      </w:r>
      <w:r>
        <w:rPr>
          <w:color w:val="385623" w:themeColor="accent6" w:themeShade="80"/>
        </w:rPr>
        <w:t>A</w:t>
      </w:r>
      <w:r w:rsidRPr="1A261643">
        <w:rPr>
          <w:color w:val="385623" w:themeColor="accent6" w:themeShade="80"/>
        </w:rPr>
        <w:t xml:space="preserve"> CYDA’s response to </w:t>
      </w:r>
      <w:r w:rsidR="00BA031C">
        <w:rPr>
          <w:color w:val="385623" w:themeColor="accent6" w:themeShade="80"/>
        </w:rPr>
        <w:t>the Draft Proposal</w:t>
      </w:r>
      <w:r w:rsidR="00AC5E9C">
        <w:rPr>
          <w:color w:val="385623" w:themeColor="accent6" w:themeShade="80"/>
        </w:rPr>
        <w:t>s</w:t>
      </w:r>
    </w:p>
    <w:p w14:paraId="65D367BA" w14:textId="77777777" w:rsidR="00F96E83" w:rsidRDefault="00F96E83" w:rsidP="00F96E83"/>
    <w:p w14:paraId="06B7F2E6" w14:textId="41BEFFF3" w:rsidR="00E90DC2" w:rsidRPr="00E90DC2" w:rsidRDefault="00E90DC2" w:rsidP="00E90DC2">
      <w:pPr>
        <w:spacing w:after="160" w:line="259" w:lineRule="auto"/>
        <w:rPr>
          <w:rFonts w:ascii="Arial" w:hAnsi="Arial" w:cs="Arial"/>
          <w:kern w:val="2"/>
          <w:sz w:val="22"/>
          <w:szCs w:val="22"/>
          <w14:ligatures w14:val="standardContextual"/>
        </w:rPr>
      </w:pPr>
      <w:r w:rsidRPr="00E90DC2">
        <w:rPr>
          <w:rFonts w:ascii="Arial" w:hAnsi="Arial" w:cs="Arial"/>
          <w:kern w:val="2"/>
          <w:sz w:val="22"/>
          <w:szCs w:val="22"/>
          <w14:ligatures w14:val="standardContextual"/>
        </w:rPr>
        <w:t>The following response</w:t>
      </w:r>
      <w:r w:rsidR="00690463">
        <w:rPr>
          <w:rFonts w:ascii="Arial" w:hAnsi="Arial" w:cs="Arial"/>
          <w:kern w:val="2"/>
          <w:sz w:val="22"/>
          <w:szCs w:val="22"/>
          <w14:ligatures w14:val="standardContextual"/>
        </w:rPr>
        <w:t xml:space="preserve"> (See Table 1) </w:t>
      </w:r>
      <w:r w:rsidRPr="00E90DC2">
        <w:rPr>
          <w:rFonts w:ascii="Arial" w:hAnsi="Arial" w:cs="Arial"/>
          <w:kern w:val="2"/>
          <w:sz w:val="22"/>
          <w:szCs w:val="22"/>
          <w14:ligatures w14:val="standardContextual"/>
        </w:rPr>
        <w:t xml:space="preserve">is informed by CYDA’s consultations with children, young people with disability and their families as detailed in the following source documents. In addition to </w:t>
      </w:r>
      <w:r w:rsidR="00094367" w:rsidRPr="00F476D6">
        <w:rPr>
          <w:rFonts w:ascii="Arial" w:hAnsi="Arial" w:cs="Arial"/>
          <w:kern w:val="2"/>
          <w:sz w:val="22"/>
          <w:szCs w:val="22"/>
          <w14:ligatures w14:val="standardContextual"/>
        </w:rPr>
        <w:t>considering</w:t>
      </w:r>
      <w:r w:rsidRPr="00E90DC2">
        <w:rPr>
          <w:rFonts w:ascii="Arial" w:hAnsi="Arial" w:cs="Arial"/>
          <w:kern w:val="2"/>
          <w:sz w:val="22"/>
          <w:szCs w:val="22"/>
          <w14:ligatures w14:val="standardContextual"/>
        </w:rPr>
        <w:t xml:space="preserve"> CYDA’s responses to draft proposals 1, 2 and 3, we recommend that the NDIS Review consider the overall content of each of the following reports, as they provide important insights about </w:t>
      </w:r>
      <w:r w:rsidR="00154072" w:rsidRPr="00E90DC2">
        <w:rPr>
          <w:rFonts w:ascii="Arial" w:hAnsi="Arial" w:cs="Arial"/>
          <w:kern w:val="2"/>
          <w:sz w:val="22"/>
          <w:szCs w:val="22"/>
          <w14:ligatures w14:val="standardContextual"/>
        </w:rPr>
        <w:t>safeguarding</w:t>
      </w:r>
      <w:r w:rsidRPr="00E90DC2">
        <w:rPr>
          <w:rFonts w:ascii="Arial" w:hAnsi="Arial" w:cs="Arial"/>
          <w:kern w:val="2"/>
          <w:sz w:val="22"/>
          <w:szCs w:val="22"/>
          <w14:ligatures w14:val="standardContextual"/>
        </w:rPr>
        <w:t xml:space="preserve"> for children and young people with disability.</w:t>
      </w:r>
    </w:p>
    <w:p w14:paraId="59EE2331" w14:textId="77777777" w:rsidR="00E90DC2" w:rsidRPr="00E90DC2" w:rsidRDefault="00E90DC2" w:rsidP="00E90DC2">
      <w:pPr>
        <w:spacing w:after="160" w:line="259" w:lineRule="auto"/>
        <w:rPr>
          <w:rFonts w:ascii="Arial" w:hAnsi="Arial" w:cs="Arial"/>
          <w:b/>
          <w:bCs/>
          <w:kern w:val="2"/>
          <w:sz w:val="22"/>
          <w:szCs w:val="22"/>
          <w14:ligatures w14:val="standardContextual"/>
        </w:rPr>
      </w:pPr>
      <w:r w:rsidRPr="00E90DC2">
        <w:rPr>
          <w:rFonts w:ascii="Arial" w:hAnsi="Arial" w:cs="Arial"/>
          <w:b/>
          <w:bCs/>
          <w:kern w:val="2"/>
          <w:sz w:val="22"/>
          <w:szCs w:val="22"/>
          <w14:ligatures w14:val="standardContextual"/>
        </w:rPr>
        <w:t>Source Documents:</w:t>
      </w:r>
    </w:p>
    <w:p w14:paraId="1FC8ED23" w14:textId="77777777" w:rsidR="00E90DC2" w:rsidRPr="00E90DC2" w:rsidRDefault="00120C09" w:rsidP="00E90DC2">
      <w:pPr>
        <w:numPr>
          <w:ilvl w:val="0"/>
          <w:numId w:val="20"/>
        </w:numPr>
        <w:spacing w:after="160" w:line="259" w:lineRule="auto"/>
        <w:contextualSpacing/>
        <w:rPr>
          <w:rFonts w:ascii="Arial" w:hAnsi="Arial" w:cs="Arial"/>
          <w:b/>
          <w:bCs/>
          <w:kern w:val="2"/>
          <w:sz w:val="22"/>
          <w:szCs w:val="22"/>
          <w14:ligatures w14:val="standardContextual"/>
        </w:rPr>
      </w:pPr>
      <w:hyperlink r:id="rId13" w:history="1">
        <w:r w:rsidR="00E90DC2" w:rsidRPr="00E90DC2">
          <w:rPr>
            <w:rFonts w:ascii="Arial" w:hAnsi="Arial" w:cs="Arial"/>
            <w:b/>
            <w:bCs/>
            <w:color w:val="0563C1" w:themeColor="hyperlink"/>
            <w:kern w:val="2"/>
            <w:sz w:val="22"/>
            <w:szCs w:val="22"/>
            <w:u w:val="single"/>
            <w14:ligatures w14:val="standardContextual"/>
          </w:rPr>
          <w:t>CYDA's Submission to the Disability Royal Commission: Targeted Engagement with young people with disability</w:t>
        </w:r>
      </w:hyperlink>
    </w:p>
    <w:p w14:paraId="7A3E257D"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p>
    <w:p w14:paraId="3D311B14"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r w:rsidRPr="00E90DC2">
        <w:rPr>
          <w:rFonts w:ascii="Arial" w:hAnsi="Arial" w:cs="Arial"/>
          <w:kern w:val="2"/>
          <w:sz w:val="22"/>
          <w:szCs w:val="22"/>
          <w14:ligatures w14:val="standardContextual"/>
        </w:rPr>
        <w:t xml:space="preserve">In enacting its strategic goal of supporting young people to take control and call out discrimination, </w:t>
      </w:r>
      <w:proofErr w:type="gramStart"/>
      <w:r w:rsidRPr="00E90DC2">
        <w:rPr>
          <w:rFonts w:ascii="Arial" w:hAnsi="Arial" w:cs="Arial"/>
          <w:kern w:val="2"/>
          <w:sz w:val="22"/>
          <w:szCs w:val="22"/>
          <w14:ligatures w14:val="standardContextual"/>
        </w:rPr>
        <w:t>abuse</w:t>
      </w:r>
      <w:proofErr w:type="gramEnd"/>
      <w:r w:rsidRPr="00E90DC2">
        <w:rPr>
          <w:rFonts w:ascii="Arial" w:hAnsi="Arial" w:cs="Arial"/>
          <w:kern w:val="2"/>
          <w:sz w:val="22"/>
          <w:szCs w:val="22"/>
          <w14:ligatures w14:val="standardContextual"/>
        </w:rPr>
        <w:t xml:space="preserve"> and neglect, CYDA collaborated with the Disability Royal Commission to undertake the targeted engagement, capturing the lived experience of several young people living with disability who have been involved in CYDA’s programs. </w:t>
      </w:r>
    </w:p>
    <w:p w14:paraId="1FE8B30C"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p>
    <w:p w14:paraId="3D299299" w14:textId="77777777" w:rsidR="00E90DC2" w:rsidRPr="00E90DC2" w:rsidRDefault="00E90DC2" w:rsidP="00E90DC2">
      <w:pPr>
        <w:spacing w:after="160" w:line="259" w:lineRule="auto"/>
        <w:ind w:left="720"/>
        <w:contextualSpacing/>
        <w:rPr>
          <w:rFonts w:ascii="Arial" w:hAnsi="Arial" w:cs="Arial"/>
          <w:i/>
          <w:iCs/>
          <w:kern w:val="2"/>
          <w:sz w:val="22"/>
          <w:szCs w:val="22"/>
          <w14:ligatures w14:val="standardContextual"/>
        </w:rPr>
      </w:pPr>
      <w:r w:rsidRPr="00E90DC2">
        <w:rPr>
          <w:rFonts w:ascii="Arial" w:hAnsi="Arial" w:cs="Arial"/>
          <w:i/>
          <w:iCs/>
          <w:kern w:val="2"/>
          <w:sz w:val="22"/>
          <w:szCs w:val="22"/>
          <w14:ligatures w14:val="standardContextual"/>
        </w:rPr>
        <w:t>Whilst not specifically about the NDIS, the recommendations from the sessions covered the topic of “access to quality and safe support in all settings”, which is of relevance to the NDIS safe-guarding - draft proposals.</w:t>
      </w:r>
    </w:p>
    <w:p w14:paraId="7EE9DD1B"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p>
    <w:p w14:paraId="6CD459BB" w14:textId="77777777" w:rsidR="00E90DC2" w:rsidRPr="00E90DC2" w:rsidRDefault="00120C09" w:rsidP="00E90DC2">
      <w:pPr>
        <w:numPr>
          <w:ilvl w:val="0"/>
          <w:numId w:val="20"/>
        </w:numPr>
        <w:spacing w:after="160" w:line="259" w:lineRule="auto"/>
        <w:contextualSpacing/>
        <w:rPr>
          <w:rFonts w:ascii="Arial" w:hAnsi="Arial" w:cs="Arial"/>
          <w:b/>
          <w:bCs/>
          <w:kern w:val="2"/>
          <w:sz w:val="22"/>
          <w:szCs w:val="22"/>
          <w14:ligatures w14:val="standardContextual"/>
        </w:rPr>
      </w:pPr>
      <w:hyperlink r:id="rId14" w:history="1">
        <w:r w:rsidR="00E90DC2" w:rsidRPr="00E90DC2">
          <w:rPr>
            <w:rFonts w:ascii="Arial" w:hAnsi="Arial" w:cs="Arial"/>
            <w:b/>
            <w:bCs/>
            <w:color w:val="0563C1" w:themeColor="hyperlink"/>
            <w:kern w:val="2"/>
            <w:sz w:val="22"/>
            <w:szCs w:val="22"/>
            <w:u w:val="single"/>
            <w14:ligatures w14:val="standardContextual"/>
          </w:rPr>
          <w:t>CYDA report - National Principles for Child Safe Organisations Consultation Report – Children and Young People with Disability</w:t>
        </w:r>
      </w:hyperlink>
    </w:p>
    <w:p w14:paraId="29833DC4"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p>
    <w:p w14:paraId="2AE55229"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r w:rsidRPr="00E90DC2">
        <w:rPr>
          <w:rFonts w:ascii="Arial" w:hAnsi="Arial" w:cs="Arial"/>
          <w:kern w:val="2"/>
          <w:sz w:val="22"/>
          <w:szCs w:val="22"/>
          <w14:ligatures w14:val="standardContextual"/>
        </w:rPr>
        <w:t>The National Principles for Child Safe Organisations set out a nationally consistent approach to promoting a culture of child safety and wellbeing within organisations. The principles give effect to the child safe standards that were recommended by the Royal Commission and bring attention to general child safety and wellbeing issues.</w:t>
      </w:r>
    </w:p>
    <w:p w14:paraId="3A8DAD16"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p>
    <w:p w14:paraId="6835F5B0" w14:textId="66AD79FB" w:rsidR="00E90DC2" w:rsidRPr="00E90DC2" w:rsidRDefault="00A14D3E" w:rsidP="00E90DC2">
      <w:pPr>
        <w:spacing w:after="160" w:line="259" w:lineRule="auto"/>
        <w:ind w:left="720"/>
        <w:contextualSpacing/>
        <w:rPr>
          <w:rFonts w:ascii="Arial" w:hAnsi="Arial" w:cs="Arial"/>
          <w:kern w:val="2"/>
          <w:sz w:val="22"/>
          <w:szCs w:val="22"/>
          <w14:ligatures w14:val="standardContextual"/>
        </w:rPr>
      </w:pPr>
      <w:r w:rsidRPr="00F476D6">
        <w:rPr>
          <w:rFonts w:ascii="Arial" w:hAnsi="Arial" w:cs="Arial"/>
          <w:kern w:val="2"/>
          <w:sz w:val="22"/>
          <w:szCs w:val="22"/>
          <w14:ligatures w14:val="standardContextual"/>
        </w:rPr>
        <w:t xml:space="preserve">CYDA’s </w:t>
      </w:r>
      <w:r w:rsidR="00E90DC2" w:rsidRPr="00E90DC2">
        <w:rPr>
          <w:rFonts w:ascii="Arial" w:hAnsi="Arial" w:cs="Arial"/>
          <w:kern w:val="2"/>
          <w:sz w:val="22"/>
          <w:szCs w:val="22"/>
          <w14:ligatures w14:val="standardContextual"/>
        </w:rPr>
        <w:t>consultation report outlines key findings and recommendations to inform the development of resources that will support organisations to better keep children and young people with disability safe.</w:t>
      </w:r>
    </w:p>
    <w:p w14:paraId="791F52D3"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p>
    <w:p w14:paraId="41B96C74"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r w:rsidRPr="00E90DC2">
        <w:rPr>
          <w:rFonts w:ascii="Arial" w:hAnsi="Arial" w:cs="Arial"/>
          <w:kern w:val="2"/>
          <w:sz w:val="22"/>
          <w:szCs w:val="22"/>
          <w14:ligatures w14:val="standardContextual"/>
        </w:rPr>
        <w:t xml:space="preserve">The National Office for Child Safety (National Office) engaged Children and Young People with Disability Australia (CYDA) in mid-2022 to develop this report. The report involved extensive consultation with a range of stakeholders, including children and young people with </w:t>
      </w:r>
      <w:r w:rsidRPr="00E90DC2">
        <w:rPr>
          <w:rFonts w:ascii="Arial" w:hAnsi="Arial" w:cs="Arial"/>
          <w:kern w:val="2"/>
          <w:sz w:val="22"/>
          <w:szCs w:val="22"/>
          <w14:ligatures w14:val="standardContextual"/>
        </w:rPr>
        <w:lastRenderedPageBreak/>
        <w:t>disability, organisations that work with children and young people with disability, and state and territory children's commissioners and guardians.</w:t>
      </w:r>
    </w:p>
    <w:p w14:paraId="0182651A"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p>
    <w:p w14:paraId="026D4A73" w14:textId="77777777" w:rsidR="00E90DC2" w:rsidRPr="00E90DC2" w:rsidRDefault="00E90DC2" w:rsidP="00E90DC2">
      <w:pPr>
        <w:spacing w:after="160" w:line="259" w:lineRule="auto"/>
        <w:ind w:left="720"/>
        <w:contextualSpacing/>
        <w:rPr>
          <w:rFonts w:ascii="Arial" w:hAnsi="Arial" w:cs="Arial"/>
          <w:i/>
          <w:iCs/>
          <w:kern w:val="2"/>
          <w:sz w:val="22"/>
          <w:szCs w:val="22"/>
          <w14:ligatures w14:val="standardContextual"/>
        </w:rPr>
      </w:pPr>
      <w:r w:rsidRPr="00E90DC2">
        <w:rPr>
          <w:rFonts w:ascii="Arial" w:hAnsi="Arial" w:cs="Arial"/>
          <w:i/>
          <w:iCs/>
          <w:kern w:val="2"/>
          <w:sz w:val="22"/>
          <w:szCs w:val="22"/>
          <w14:ligatures w14:val="standardContextual"/>
        </w:rPr>
        <w:t xml:space="preserve">Whilst not specifically about the NDIS, the findings from this project have applicability to the NDIS safeguards proposals, especially as data was collected from NDIS providers, as well as children, young </w:t>
      </w:r>
      <w:proofErr w:type="gramStart"/>
      <w:r w:rsidRPr="00E90DC2">
        <w:rPr>
          <w:rFonts w:ascii="Arial" w:hAnsi="Arial" w:cs="Arial"/>
          <w:i/>
          <w:iCs/>
          <w:kern w:val="2"/>
          <w:sz w:val="22"/>
          <w:szCs w:val="22"/>
          <w14:ligatures w14:val="standardContextual"/>
        </w:rPr>
        <w:t>people</w:t>
      </w:r>
      <w:proofErr w:type="gramEnd"/>
      <w:r w:rsidRPr="00E90DC2">
        <w:rPr>
          <w:rFonts w:ascii="Arial" w:hAnsi="Arial" w:cs="Arial"/>
          <w:i/>
          <w:iCs/>
          <w:kern w:val="2"/>
          <w:sz w:val="22"/>
          <w:szCs w:val="22"/>
          <w14:ligatures w14:val="standardContextual"/>
        </w:rPr>
        <w:t xml:space="preserve"> and families.</w:t>
      </w:r>
    </w:p>
    <w:p w14:paraId="35CDD381" w14:textId="77777777" w:rsidR="00E90DC2" w:rsidRPr="00E90DC2" w:rsidRDefault="00E90DC2" w:rsidP="00E90DC2">
      <w:pPr>
        <w:spacing w:after="160" w:line="259" w:lineRule="auto"/>
        <w:ind w:left="720"/>
        <w:contextualSpacing/>
        <w:rPr>
          <w:rFonts w:ascii="Arial" w:hAnsi="Arial" w:cs="Arial"/>
          <w:i/>
          <w:iCs/>
          <w:kern w:val="2"/>
          <w:sz w:val="22"/>
          <w:szCs w:val="22"/>
          <w14:ligatures w14:val="standardContextual"/>
        </w:rPr>
      </w:pPr>
    </w:p>
    <w:p w14:paraId="3437C3E8" w14:textId="77777777" w:rsidR="00E90DC2" w:rsidRPr="00E90DC2" w:rsidRDefault="00120C09" w:rsidP="00E90DC2">
      <w:pPr>
        <w:numPr>
          <w:ilvl w:val="0"/>
          <w:numId w:val="20"/>
        </w:numPr>
        <w:spacing w:after="160" w:line="259" w:lineRule="auto"/>
        <w:contextualSpacing/>
        <w:rPr>
          <w:rFonts w:ascii="Arial" w:hAnsi="Arial" w:cs="Arial"/>
          <w:b/>
          <w:bCs/>
          <w:kern w:val="2"/>
          <w:sz w:val="22"/>
          <w:szCs w:val="22"/>
          <w14:ligatures w14:val="standardContextual"/>
        </w:rPr>
      </w:pPr>
      <w:hyperlink r:id="rId15" w:anchor=":~:text=This%20project%20aimed%20to%20better,the%20Rights%20of%20Persons%20with" w:history="1">
        <w:r w:rsidR="00E90DC2" w:rsidRPr="00E90DC2">
          <w:rPr>
            <w:rFonts w:ascii="Arial" w:hAnsi="Arial" w:cs="Arial"/>
            <w:b/>
            <w:bCs/>
            <w:color w:val="0563C1" w:themeColor="hyperlink"/>
            <w:kern w:val="2"/>
            <w:sz w:val="22"/>
            <w:szCs w:val="22"/>
            <w:u w:val="single"/>
            <w14:ligatures w14:val="standardContextual"/>
          </w:rPr>
          <w:t>CYDA/UNSW Report - Growing Up Making Decisions Project</w:t>
        </w:r>
      </w:hyperlink>
    </w:p>
    <w:p w14:paraId="5A6363D0" w14:textId="77777777" w:rsidR="00E90DC2" w:rsidRPr="00E90DC2" w:rsidRDefault="00E90DC2" w:rsidP="00E90DC2">
      <w:pPr>
        <w:spacing w:after="160" w:line="259" w:lineRule="auto"/>
        <w:ind w:left="720"/>
        <w:contextualSpacing/>
        <w:rPr>
          <w:rFonts w:ascii="Arial" w:hAnsi="Arial" w:cs="Arial"/>
          <w:i/>
          <w:iCs/>
          <w:kern w:val="2"/>
          <w:sz w:val="22"/>
          <w:szCs w:val="22"/>
          <w14:ligatures w14:val="standardContextual"/>
        </w:rPr>
      </w:pPr>
    </w:p>
    <w:p w14:paraId="31F8F5CF" w14:textId="77777777" w:rsidR="00E90DC2" w:rsidRPr="00E90DC2" w:rsidRDefault="00E90DC2" w:rsidP="00E90DC2">
      <w:pPr>
        <w:spacing w:after="160" w:line="259" w:lineRule="auto"/>
        <w:ind w:left="720"/>
        <w:contextualSpacing/>
        <w:rPr>
          <w:rFonts w:ascii="Arial" w:hAnsi="Arial" w:cs="Arial"/>
          <w:kern w:val="2"/>
          <w:sz w:val="22"/>
          <w:szCs w:val="22"/>
          <w:highlight w:val="yellow"/>
          <w14:ligatures w14:val="standardContextual"/>
        </w:rPr>
      </w:pPr>
      <w:r w:rsidRPr="00E90DC2">
        <w:rPr>
          <w:rFonts w:ascii="Arial" w:hAnsi="Arial" w:cs="Arial"/>
          <w:kern w:val="2"/>
          <w:sz w:val="22"/>
          <w:szCs w:val="22"/>
          <w14:ligatures w14:val="standardContextual"/>
        </w:rPr>
        <w:t>Working with the Social Policy Research Centre, UNSW and Inclusion Australia, young people with disability and their families/carer-givers were interviewed by CYDA to understand what policies and practices work in supporting transition to a decision-making framework.</w:t>
      </w:r>
    </w:p>
    <w:p w14:paraId="36FAD879"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p>
    <w:p w14:paraId="504F5E5E" w14:textId="77777777" w:rsidR="00E90DC2" w:rsidRPr="00E90DC2" w:rsidRDefault="00E90DC2" w:rsidP="00E90DC2">
      <w:pPr>
        <w:spacing w:after="160" w:line="259" w:lineRule="auto"/>
        <w:ind w:left="720"/>
        <w:contextualSpacing/>
        <w:rPr>
          <w:rFonts w:ascii="Arial" w:hAnsi="Arial" w:cs="Arial"/>
          <w:kern w:val="2"/>
          <w:sz w:val="22"/>
          <w:szCs w:val="22"/>
          <w14:ligatures w14:val="standardContextual"/>
        </w:rPr>
      </w:pPr>
      <w:r w:rsidRPr="00E90DC2">
        <w:rPr>
          <w:rFonts w:ascii="Arial" w:hAnsi="Arial" w:cs="Arial"/>
          <w:kern w:val="2"/>
          <w:sz w:val="22"/>
          <w:szCs w:val="22"/>
          <w14:ligatures w14:val="standardContextual"/>
        </w:rPr>
        <w:t xml:space="preserve">This project aimed to better understand how to support young people with cognitive disability in making the transition from a best interest's decision-making framework (UN Convention on the Rights of the Child) to a will, </w:t>
      </w:r>
      <w:proofErr w:type="gramStart"/>
      <w:r w:rsidRPr="00E90DC2">
        <w:rPr>
          <w:rFonts w:ascii="Arial" w:hAnsi="Arial" w:cs="Arial"/>
          <w:kern w:val="2"/>
          <w:sz w:val="22"/>
          <w:szCs w:val="22"/>
          <w14:ligatures w14:val="standardContextual"/>
        </w:rPr>
        <w:t>preference</w:t>
      </w:r>
      <w:proofErr w:type="gramEnd"/>
      <w:r w:rsidRPr="00E90DC2">
        <w:rPr>
          <w:rFonts w:ascii="Arial" w:hAnsi="Arial" w:cs="Arial"/>
          <w:kern w:val="2"/>
          <w:sz w:val="22"/>
          <w:szCs w:val="22"/>
          <w14:ligatures w14:val="standardContextual"/>
        </w:rPr>
        <w:t xml:space="preserve"> and rights model of decision-making (UN Convention on the Rights of Persons with Disabilities; CRPD). This project examined how young people can be supported in a way that respects and supports their evolving capacity. Many people with disability are infantilised and this can affect their transition to adulthood and beyond. Many have not been exposed to independent decision making, having to rely on caregivers through the transition. Failing to help young people build decision-making capacity can have long-term consequences for life choices and may lead to inappropriate permanent guardianship orders.</w:t>
      </w:r>
    </w:p>
    <w:p w14:paraId="3B3DC751" w14:textId="77777777" w:rsidR="00E90DC2" w:rsidRPr="00E90DC2" w:rsidRDefault="00E90DC2" w:rsidP="00E90DC2">
      <w:pPr>
        <w:spacing w:after="160" w:line="259" w:lineRule="auto"/>
        <w:ind w:left="720"/>
        <w:contextualSpacing/>
        <w:rPr>
          <w:rFonts w:ascii="Arial" w:hAnsi="Arial" w:cs="Arial"/>
          <w:i/>
          <w:iCs/>
          <w:kern w:val="2"/>
          <w:sz w:val="22"/>
          <w:szCs w:val="22"/>
          <w14:ligatures w14:val="standardContextual"/>
        </w:rPr>
      </w:pPr>
    </w:p>
    <w:p w14:paraId="4C144498" w14:textId="7A3621DE" w:rsidR="00E90DC2" w:rsidRDefault="00E90DC2" w:rsidP="00E90DC2">
      <w:pPr>
        <w:spacing w:after="160" w:line="259" w:lineRule="auto"/>
        <w:ind w:left="720"/>
        <w:contextualSpacing/>
        <w:rPr>
          <w:rFonts w:ascii="Arial" w:hAnsi="Arial" w:cs="Arial"/>
          <w:i/>
          <w:iCs/>
          <w:kern w:val="2"/>
          <w:sz w:val="22"/>
          <w:szCs w:val="22"/>
          <w14:ligatures w14:val="standardContextual"/>
        </w:rPr>
      </w:pPr>
      <w:r w:rsidRPr="00E90DC2">
        <w:rPr>
          <w:rFonts w:ascii="Arial" w:hAnsi="Arial" w:cs="Arial"/>
          <w:i/>
          <w:iCs/>
          <w:kern w:val="2"/>
          <w:sz w:val="22"/>
          <w:szCs w:val="22"/>
          <w14:ligatures w14:val="standardContextual"/>
        </w:rPr>
        <w:t>Whilst not specifically about the NDIS, the findings from this study have applicability to the NDIS safeguards proposals</w:t>
      </w:r>
    </w:p>
    <w:p w14:paraId="1AE8777C" w14:textId="77777777" w:rsidR="00E90DC2" w:rsidRDefault="00E90DC2" w:rsidP="00E90DC2">
      <w:pPr>
        <w:spacing w:after="160" w:line="259" w:lineRule="auto"/>
        <w:ind w:left="720"/>
        <w:contextualSpacing/>
        <w:rPr>
          <w:rFonts w:ascii="Arial" w:hAnsi="Arial" w:cs="Arial"/>
          <w:i/>
          <w:iCs/>
          <w:kern w:val="2"/>
          <w:sz w:val="22"/>
          <w:szCs w:val="22"/>
          <w14:ligatures w14:val="standardContextual"/>
        </w:rPr>
      </w:pPr>
    </w:p>
    <w:p w14:paraId="245A942C" w14:textId="66A06FA9" w:rsidR="00E90DC2" w:rsidRPr="00E90DC2" w:rsidRDefault="00690463" w:rsidP="00E90DC2">
      <w:pPr>
        <w:spacing w:after="160" w:line="259" w:lineRule="auto"/>
        <w:ind w:left="720"/>
        <w:contextualSpacing/>
        <w:rPr>
          <w:rFonts w:ascii="Arial" w:hAnsi="Arial" w:cs="Arial"/>
          <w:kern w:val="2"/>
          <w:sz w:val="22"/>
          <w:szCs w:val="22"/>
          <w14:ligatures w14:val="standardContextual"/>
        </w:rPr>
      </w:pPr>
      <w:r>
        <w:rPr>
          <w:rFonts w:ascii="Arial" w:hAnsi="Arial" w:cs="Arial"/>
          <w:kern w:val="2"/>
          <w:sz w:val="22"/>
          <w:szCs w:val="22"/>
          <w14:ligatures w14:val="standardContextual"/>
        </w:rPr>
        <w:t xml:space="preserve">CYDA’s response to </w:t>
      </w:r>
      <w:r w:rsidR="00510078">
        <w:rPr>
          <w:rFonts w:ascii="Arial" w:hAnsi="Arial" w:cs="Arial"/>
          <w:kern w:val="2"/>
          <w:sz w:val="22"/>
          <w:szCs w:val="22"/>
          <w14:ligatures w14:val="standardContextual"/>
        </w:rPr>
        <w:t>the Draft Proposals outlined in the consultation paper are detailed in Table 1 below</w:t>
      </w:r>
    </w:p>
    <w:p w14:paraId="409850B6" w14:textId="76F2CDF1" w:rsidR="00690463" w:rsidRDefault="00690463">
      <w:pPr>
        <w:rPr>
          <w:b/>
          <w:bCs/>
          <w:kern w:val="2"/>
          <w:sz w:val="22"/>
          <w:szCs w:val="22"/>
          <w14:ligatures w14:val="standardContextual"/>
        </w:rPr>
      </w:pPr>
      <w:r>
        <w:rPr>
          <w:b/>
          <w:bCs/>
          <w:kern w:val="2"/>
          <w:sz w:val="22"/>
          <w:szCs w:val="22"/>
          <w14:ligatures w14:val="standardContextual"/>
        </w:rPr>
        <w:br w:type="page"/>
      </w:r>
    </w:p>
    <w:p w14:paraId="44B719C9" w14:textId="77777777" w:rsidR="00E90DC2" w:rsidRPr="00E90DC2" w:rsidRDefault="00E90DC2" w:rsidP="00E90DC2">
      <w:pPr>
        <w:spacing w:after="160" w:line="259" w:lineRule="auto"/>
        <w:ind w:left="720"/>
        <w:contextualSpacing/>
        <w:rPr>
          <w:b/>
          <w:bCs/>
          <w:kern w:val="2"/>
          <w:sz w:val="22"/>
          <w:szCs w:val="22"/>
          <w14:ligatures w14:val="standardContextual"/>
        </w:rPr>
      </w:pPr>
    </w:p>
    <w:p w14:paraId="0591C96D" w14:textId="1E83C487" w:rsidR="00F476D6" w:rsidRPr="00690463" w:rsidRDefault="00F476D6" w:rsidP="00F476D6">
      <w:pPr>
        <w:pStyle w:val="Caption"/>
        <w:keepNext/>
        <w:rPr>
          <w:rFonts w:ascii="Arial" w:hAnsi="Arial" w:cs="Arial"/>
          <w:b/>
          <w:i w:val="0"/>
          <w:color w:val="auto"/>
          <w:sz w:val="22"/>
          <w:szCs w:val="22"/>
        </w:rPr>
      </w:pPr>
      <w:r w:rsidRPr="00690463">
        <w:rPr>
          <w:rFonts w:ascii="Arial" w:hAnsi="Arial" w:cs="Arial"/>
          <w:b/>
          <w:i w:val="0"/>
          <w:color w:val="auto"/>
          <w:sz w:val="22"/>
          <w:szCs w:val="22"/>
        </w:rPr>
        <w:t xml:space="preserve">Table </w:t>
      </w:r>
      <w:r w:rsidRPr="00690463">
        <w:rPr>
          <w:rFonts w:ascii="Arial" w:hAnsi="Arial" w:cs="Arial"/>
          <w:b/>
          <w:i w:val="0"/>
          <w:color w:val="auto"/>
          <w:sz w:val="22"/>
          <w:szCs w:val="22"/>
        </w:rPr>
        <w:fldChar w:fldCharType="begin"/>
      </w:r>
      <w:r w:rsidRPr="00690463">
        <w:rPr>
          <w:rFonts w:ascii="Arial" w:hAnsi="Arial" w:cs="Arial"/>
          <w:b/>
          <w:i w:val="0"/>
          <w:color w:val="auto"/>
          <w:sz w:val="22"/>
          <w:szCs w:val="22"/>
        </w:rPr>
        <w:instrText xml:space="preserve"> SEQ Table \* ARABIC </w:instrText>
      </w:r>
      <w:r w:rsidRPr="00690463">
        <w:rPr>
          <w:rFonts w:ascii="Arial" w:hAnsi="Arial" w:cs="Arial"/>
          <w:b/>
          <w:i w:val="0"/>
          <w:color w:val="auto"/>
          <w:sz w:val="22"/>
          <w:szCs w:val="22"/>
        </w:rPr>
        <w:fldChar w:fldCharType="separate"/>
      </w:r>
      <w:r w:rsidR="00394BF5">
        <w:rPr>
          <w:rFonts w:ascii="Arial" w:hAnsi="Arial" w:cs="Arial"/>
          <w:b/>
          <w:i w:val="0"/>
          <w:noProof/>
          <w:color w:val="auto"/>
          <w:sz w:val="22"/>
          <w:szCs w:val="22"/>
        </w:rPr>
        <w:t>1</w:t>
      </w:r>
      <w:r w:rsidRPr="00690463">
        <w:rPr>
          <w:rFonts w:ascii="Arial" w:hAnsi="Arial" w:cs="Arial"/>
          <w:b/>
          <w:i w:val="0"/>
          <w:color w:val="auto"/>
          <w:sz w:val="22"/>
          <w:szCs w:val="22"/>
        </w:rPr>
        <w:fldChar w:fldCharType="end"/>
      </w:r>
      <w:r w:rsidRPr="00690463">
        <w:rPr>
          <w:rFonts w:ascii="Arial" w:hAnsi="Arial" w:cs="Arial"/>
          <w:b/>
          <w:i w:val="0"/>
          <w:color w:val="auto"/>
          <w:sz w:val="22"/>
          <w:szCs w:val="22"/>
        </w:rPr>
        <w:t xml:space="preserve"> - CYDA response to Proposals Paper</w:t>
      </w:r>
    </w:p>
    <w:tbl>
      <w:tblPr>
        <w:tblStyle w:val="TableGrid1"/>
        <w:tblW w:w="14170" w:type="dxa"/>
        <w:tblLook w:val="04A0" w:firstRow="1" w:lastRow="0" w:firstColumn="1" w:lastColumn="0" w:noHBand="0" w:noVBand="1"/>
      </w:tblPr>
      <w:tblGrid>
        <w:gridCol w:w="3397"/>
        <w:gridCol w:w="3261"/>
        <w:gridCol w:w="1417"/>
        <w:gridCol w:w="4394"/>
        <w:gridCol w:w="1701"/>
      </w:tblGrid>
      <w:tr w:rsidR="00930977" w:rsidRPr="00E90DC2" w14:paraId="73C7DA95" w14:textId="77777777" w:rsidTr="00666878">
        <w:trPr>
          <w:tblHeader/>
        </w:trPr>
        <w:tc>
          <w:tcPr>
            <w:tcW w:w="3397" w:type="dxa"/>
          </w:tcPr>
          <w:p w14:paraId="49786AFE" w14:textId="60916F5A" w:rsidR="00930977" w:rsidRPr="00E90DC2" w:rsidRDefault="00930977" w:rsidP="00E90DC2">
            <w:pPr>
              <w:rPr>
                <w:b/>
                <w:bCs/>
              </w:rPr>
            </w:pPr>
            <w:r>
              <w:rPr>
                <w:b/>
                <w:bCs/>
              </w:rPr>
              <w:t xml:space="preserve">Consultation Paper </w:t>
            </w:r>
            <w:r w:rsidRPr="00E90DC2">
              <w:rPr>
                <w:b/>
                <w:bCs/>
              </w:rPr>
              <w:t>Draft Proposal</w:t>
            </w:r>
          </w:p>
        </w:tc>
        <w:tc>
          <w:tcPr>
            <w:tcW w:w="3261" w:type="dxa"/>
          </w:tcPr>
          <w:p w14:paraId="37D9FD8B" w14:textId="77777777" w:rsidR="00930977" w:rsidRPr="00E90DC2" w:rsidRDefault="00930977" w:rsidP="00E90DC2">
            <w:pPr>
              <w:rPr>
                <w:b/>
                <w:bCs/>
              </w:rPr>
            </w:pPr>
            <w:r w:rsidRPr="00E90DC2">
              <w:rPr>
                <w:b/>
                <w:bCs/>
              </w:rPr>
              <w:t>CYDA’s response to draft proposal</w:t>
            </w:r>
          </w:p>
        </w:tc>
        <w:tc>
          <w:tcPr>
            <w:tcW w:w="1417" w:type="dxa"/>
          </w:tcPr>
          <w:p w14:paraId="40E08F51" w14:textId="77777777" w:rsidR="00930977" w:rsidRPr="00E90DC2" w:rsidRDefault="00930977" w:rsidP="00E90DC2">
            <w:pPr>
              <w:rPr>
                <w:b/>
                <w:bCs/>
              </w:rPr>
            </w:pPr>
            <w:r w:rsidRPr="00E90DC2">
              <w:rPr>
                <w:b/>
                <w:bCs/>
              </w:rPr>
              <w:t>Source document #</w:t>
            </w:r>
          </w:p>
        </w:tc>
        <w:tc>
          <w:tcPr>
            <w:tcW w:w="4394" w:type="dxa"/>
          </w:tcPr>
          <w:p w14:paraId="01E6FDC2" w14:textId="77777777" w:rsidR="00930977" w:rsidRPr="00E90DC2" w:rsidRDefault="00930977" w:rsidP="00E90DC2">
            <w:pPr>
              <w:rPr>
                <w:b/>
                <w:bCs/>
              </w:rPr>
            </w:pPr>
            <w:r w:rsidRPr="00E90DC2">
              <w:rPr>
                <w:b/>
                <w:bCs/>
              </w:rPr>
              <w:t>Supporting quote from children/young people with disability/families (if applicable)</w:t>
            </w:r>
          </w:p>
        </w:tc>
        <w:tc>
          <w:tcPr>
            <w:tcW w:w="1701" w:type="dxa"/>
          </w:tcPr>
          <w:p w14:paraId="15A19B19" w14:textId="77777777" w:rsidR="00930977" w:rsidRPr="00E90DC2" w:rsidRDefault="00930977" w:rsidP="00E90DC2">
            <w:pPr>
              <w:rPr>
                <w:b/>
                <w:bCs/>
              </w:rPr>
            </w:pPr>
            <w:r w:rsidRPr="00E90DC2">
              <w:rPr>
                <w:b/>
                <w:bCs/>
              </w:rPr>
              <w:t>Source Document Page Reference</w:t>
            </w:r>
          </w:p>
        </w:tc>
      </w:tr>
      <w:tr w:rsidR="00930977" w:rsidRPr="00E90DC2" w14:paraId="1F5AD17A" w14:textId="77777777" w:rsidTr="00930977">
        <w:tc>
          <w:tcPr>
            <w:tcW w:w="3397" w:type="dxa"/>
            <w:shd w:val="clear" w:color="auto" w:fill="ED7D31" w:themeFill="accent2"/>
          </w:tcPr>
          <w:p w14:paraId="5519886E" w14:textId="77777777" w:rsidR="00930977" w:rsidRPr="00E90DC2" w:rsidRDefault="00930977" w:rsidP="00E90DC2">
            <w:pPr>
              <w:rPr>
                <w:b/>
                <w:bCs/>
              </w:rPr>
            </w:pPr>
            <w:r w:rsidRPr="00E90DC2">
              <w:rPr>
                <w:b/>
                <w:bCs/>
              </w:rPr>
              <w:t>A participant-centred approach</w:t>
            </w:r>
          </w:p>
          <w:p w14:paraId="4F93B901" w14:textId="77777777" w:rsidR="00930977" w:rsidRPr="00E90DC2" w:rsidRDefault="00930977" w:rsidP="00E90DC2">
            <w:pPr>
              <w:numPr>
                <w:ilvl w:val="0"/>
                <w:numId w:val="21"/>
              </w:numPr>
              <w:contextualSpacing/>
            </w:pPr>
            <w:r w:rsidRPr="00E90DC2">
              <w:t>participants’ rights and capacity to exercise them</w:t>
            </w:r>
          </w:p>
          <w:p w14:paraId="712D3B6B" w14:textId="77777777" w:rsidR="00930977" w:rsidRPr="00E90DC2" w:rsidRDefault="00930977" w:rsidP="00E90DC2">
            <w:pPr>
              <w:numPr>
                <w:ilvl w:val="0"/>
                <w:numId w:val="21"/>
              </w:numPr>
              <w:contextualSpacing/>
            </w:pPr>
            <w:r w:rsidRPr="00E90DC2">
              <w:t>View the NDIS from participants’ perspectives</w:t>
            </w:r>
          </w:p>
          <w:p w14:paraId="6F4D72D3" w14:textId="77777777" w:rsidR="00930977" w:rsidRPr="00E90DC2" w:rsidRDefault="00930977" w:rsidP="00E90DC2">
            <w:pPr>
              <w:numPr>
                <w:ilvl w:val="0"/>
                <w:numId w:val="21"/>
              </w:numPr>
              <w:contextualSpacing/>
              <w:rPr>
                <w:b/>
              </w:rPr>
            </w:pPr>
            <w:r w:rsidRPr="00E90DC2">
              <w:t>Proactively identify and engage with risk</w:t>
            </w:r>
          </w:p>
          <w:p w14:paraId="093B0BB5" w14:textId="77777777" w:rsidR="00E90DC2" w:rsidRPr="00E90DC2" w:rsidRDefault="00930977" w:rsidP="00E90DC2">
            <w:pPr>
              <w:numPr>
                <w:ilvl w:val="0"/>
                <w:numId w:val="21"/>
              </w:numPr>
              <w:contextualSpacing/>
              <w:rPr>
                <w:b/>
                <w:bCs/>
              </w:rPr>
            </w:pPr>
            <w:r w:rsidRPr="00E90DC2">
              <w:t>Be trauma-aware and healing-informed</w:t>
            </w:r>
          </w:p>
        </w:tc>
        <w:tc>
          <w:tcPr>
            <w:tcW w:w="10773" w:type="dxa"/>
            <w:gridSpan w:val="4"/>
            <w:shd w:val="clear" w:color="auto" w:fill="ED7D31" w:themeFill="accent2"/>
          </w:tcPr>
          <w:p w14:paraId="6B93C789" w14:textId="77777777" w:rsidR="00930977" w:rsidRPr="00E90DC2" w:rsidRDefault="00930977" w:rsidP="00E90DC2"/>
        </w:tc>
      </w:tr>
      <w:tr w:rsidR="00930977" w:rsidRPr="00E90DC2" w14:paraId="2F5BB565" w14:textId="77777777" w:rsidTr="00666878">
        <w:tc>
          <w:tcPr>
            <w:tcW w:w="3397" w:type="dxa"/>
          </w:tcPr>
          <w:p w14:paraId="7A22EEC9" w14:textId="77777777" w:rsidR="00930977" w:rsidRPr="00E90DC2" w:rsidRDefault="00930977" w:rsidP="00E90DC2"/>
        </w:tc>
        <w:tc>
          <w:tcPr>
            <w:tcW w:w="3261" w:type="dxa"/>
          </w:tcPr>
          <w:p w14:paraId="23510873" w14:textId="77777777" w:rsidR="00930977" w:rsidRPr="00E90DC2" w:rsidRDefault="00930977" w:rsidP="00E90DC2">
            <w:pPr>
              <w:rPr>
                <w:b/>
                <w:bCs/>
              </w:rPr>
            </w:pPr>
            <w:r w:rsidRPr="00E90DC2">
              <w:rPr>
                <w:b/>
                <w:bCs/>
              </w:rPr>
              <w:t xml:space="preserve">Child-centred </w:t>
            </w:r>
            <w:r w:rsidRPr="00E90DC2">
              <w:t>When organisations fail to be inclusive, children and young people with disability and their families are left isolated and disconnected from their community</w:t>
            </w:r>
            <w:r w:rsidRPr="00E90DC2">
              <w:rPr>
                <w:b/>
                <w:bCs/>
              </w:rPr>
              <w:t>.</w:t>
            </w:r>
          </w:p>
          <w:p w14:paraId="76BDF78B" w14:textId="77777777" w:rsidR="00930977" w:rsidRPr="00E90DC2" w:rsidRDefault="00930977" w:rsidP="00E90DC2">
            <w:r w:rsidRPr="00E90DC2">
              <w:t>Taking a child-centred approach that focuses on the individual is a positive way to support inclusion.</w:t>
            </w:r>
            <w:r w:rsidRPr="00E90DC2">
              <w:rPr>
                <w:b/>
                <w:bCs/>
              </w:rPr>
              <w:t xml:space="preserve"> </w:t>
            </w:r>
            <w:r w:rsidRPr="00E90DC2">
              <w:t xml:space="preserve">The Child Safe Organisations Project report identified that there should be a shift away from the medical model of disability to the social model of disability. The social model of disability points out the way that social systems and structures create barriers that discriminate against and </w:t>
            </w:r>
            <w:r w:rsidRPr="00E90DC2">
              <w:lastRenderedPageBreak/>
              <w:t>exclude people with disability from the community.</w:t>
            </w:r>
          </w:p>
          <w:p w14:paraId="70CE928B" w14:textId="77777777" w:rsidR="00930977" w:rsidRPr="00E90DC2" w:rsidRDefault="00930977" w:rsidP="00E90DC2">
            <w:pPr>
              <w:rPr>
                <w:b/>
                <w:bCs/>
              </w:rPr>
            </w:pPr>
          </w:p>
        </w:tc>
        <w:tc>
          <w:tcPr>
            <w:tcW w:w="1417" w:type="dxa"/>
          </w:tcPr>
          <w:p w14:paraId="3FD8D2DC" w14:textId="77777777" w:rsidR="00930977" w:rsidRPr="00E90DC2" w:rsidRDefault="00930977" w:rsidP="00E90DC2">
            <w:r w:rsidRPr="00E90DC2">
              <w:lastRenderedPageBreak/>
              <w:t>2</w:t>
            </w:r>
          </w:p>
        </w:tc>
        <w:tc>
          <w:tcPr>
            <w:tcW w:w="4394" w:type="dxa"/>
          </w:tcPr>
          <w:p w14:paraId="7C1E1F34" w14:textId="77777777" w:rsidR="00930977" w:rsidRPr="00E90DC2" w:rsidRDefault="00930977" w:rsidP="00E90DC2">
            <w:r w:rsidRPr="00E90DC2">
              <w:rPr>
                <w:i/>
                <w:iCs/>
              </w:rPr>
              <w:t>‘[W]</w:t>
            </w:r>
            <w:proofErr w:type="spellStart"/>
            <w:r w:rsidRPr="00E90DC2">
              <w:rPr>
                <w:i/>
                <w:iCs/>
              </w:rPr>
              <w:t>e’re</w:t>
            </w:r>
            <w:proofErr w:type="spellEnd"/>
            <w:r w:rsidRPr="00E90DC2">
              <w:rPr>
                <w:i/>
                <w:iCs/>
              </w:rPr>
              <w:t xml:space="preserve"> pretty isolated, </w:t>
            </w:r>
            <w:proofErr w:type="gramStart"/>
            <w:r w:rsidRPr="00E90DC2">
              <w:rPr>
                <w:i/>
                <w:iCs/>
              </w:rPr>
              <w:t>because of the fact that</w:t>
            </w:r>
            <w:proofErr w:type="gramEnd"/>
            <w:r w:rsidRPr="00E90DC2">
              <w:rPr>
                <w:i/>
                <w:iCs/>
              </w:rPr>
              <w:t xml:space="preserve"> there are these barriers where clubs aren’t inclusive. And so, we don’t belong to any </w:t>
            </w:r>
            <w:proofErr w:type="gramStart"/>
            <w:r w:rsidRPr="00E90DC2">
              <w:rPr>
                <w:i/>
                <w:iCs/>
              </w:rPr>
              <w:t>clubs, actually</w:t>
            </w:r>
            <w:proofErr w:type="gramEnd"/>
            <w:r w:rsidRPr="00E90DC2">
              <w:rPr>
                <w:i/>
                <w:iCs/>
              </w:rPr>
              <w:t xml:space="preserve">. No swimming club, no soccer club, no footy club, no club. Because my child has got complex communication needs and he also has challenging behaviour, and so teamwork, even when he’s fully regulated, would be tricky for him. And so, we’re totally excluded. It’s like we’re not even a citizen in our local community.’ </w:t>
            </w:r>
            <w:r w:rsidRPr="00E90DC2">
              <w:t>– (Parents and caregivers).</w:t>
            </w:r>
          </w:p>
          <w:p w14:paraId="2AA01390" w14:textId="77777777" w:rsidR="00930977" w:rsidRPr="00E90DC2" w:rsidRDefault="00930977" w:rsidP="00E90DC2"/>
          <w:p w14:paraId="64DB20DE" w14:textId="0119926A" w:rsidR="00930977" w:rsidRPr="00E90DC2" w:rsidRDefault="00930977" w:rsidP="00510078">
            <w:r w:rsidRPr="00E90DC2">
              <w:rPr>
                <w:i/>
                <w:iCs/>
              </w:rPr>
              <w:t>‘[O]</w:t>
            </w:r>
            <w:proofErr w:type="spellStart"/>
            <w:r w:rsidRPr="00E90DC2">
              <w:rPr>
                <w:i/>
                <w:iCs/>
              </w:rPr>
              <w:t>ne</w:t>
            </w:r>
            <w:proofErr w:type="spellEnd"/>
            <w:r w:rsidRPr="00E90DC2">
              <w:rPr>
                <w:i/>
                <w:iCs/>
              </w:rPr>
              <w:t xml:space="preserve"> of the biggest challenges organisations face is understanding the social and the cultural model of disability rather than viewing disability through a medical </w:t>
            </w:r>
            <w:proofErr w:type="gramStart"/>
            <w:r w:rsidRPr="00E90DC2">
              <w:rPr>
                <w:i/>
                <w:iCs/>
              </w:rPr>
              <w:t>model, and</w:t>
            </w:r>
            <w:proofErr w:type="gramEnd"/>
            <w:r w:rsidRPr="00E90DC2">
              <w:rPr>
                <w:i/>
                <w:iCs/>
              </w:rPr>
              <w:t xml:space="preserve"> understanding that there are different barriers </w:t>
            </w:r>
            <w:r w:rsidRPr="00E90DC2">
              <w:rPr>
                <w:i/>
                <w:iCs/>
              </w:rPr>
              <w:lastRenderedPageBreak/>
              <w:t xml:space="preserve">for different children with disabilities based on their cultural background or their gender’. </w:t>
            </w:r>
            <w:r w:rsidRPr="00E90DC2">
              <w:rPr>
                <w:i/>
              </w:rPr>
              <w:t>– (Advocacy organisations).</w:t>
            </w:r>
            <w:r w:rsidRPr="00E90DC2">
              <w:t xml:space="preserve"> </w:t>
            </w:r>
          </w:p>
        </w:tc>
        <w:tc>
          <w:tcPr>
            <w:tcW w:w="1701" w:type="dxa"/>
          </w:tcPr>
          <w:p w14:paraId="4588E23A" w14:textId="77777777" w:rsidR="00930977" w:rsidRPr="00E90DC2" w:rsidRDefault="00930977" w:rsidP="00E90DC2">
            <w:r w:rsidRPr="00E90DC2">
              <w:lastRenderedPageBreak/>
              <w:t>Pp 37,38</w:t>
            </w:r>
          </w:p>
        </w:tc>
      </w:tr>
      <w:tr w:rsidR="00930977" w:rsidRPr="00E90DC2" w14:paraId="137AAE56" w14:textId="77777777" w:rsidTr="00666878">
        <w:tc>
          <w:tcPr>
            <w:tcW w:w="3397" w:type="dxa"/>
          </w:tcPr>
          <w:p w14:paraId="6C4AB3DD" w14:textId="77777777" w:rsidR="00930977" w:rsidRPr="00E90DC2" w:rsidRDefault="00930977" w:rsidP="00E90DC2"/>
        </w:tc>
        <w:tc>
          <w:tcPr>
            <w:tcW w:w="3261" w:type="dxa"/>
          </w:tcPr>
          <w:p w14:paraId="096D68D7" w14:textId="77777777" w:rsidR="00930977" w:rsidRPr="00E90DC2" w:rsidRDefault="00930977" w:rsidP="00E90DC2">
            <w:pPr>
              <w:spacing w:after="160" w:line="259" w:lineRule="auto"/>
            </w:pPr>
            <w:r w:rsidRPr="00E90DC2">
              <w:rPr>
                <w:b/>
              </w:rPr>
              <w:t xml:space="preserve">Rights and Risks </w:t>
            </w:r>
            <w:r w:rsidRPr="00E90DC2">
              <w:t xml:space="preserve">- The process of building autonomy in decision-making is different for everyone, varying by support needs and the supports around the young person. </w:t>
            </w:r>
          </w:p>
          <w:p w14:paraId="455BA4F8" w14:textId="77777777" w:rsidR="00930977" w:rsidRPr="00E90DC2" w:rsidRDefault="00930977" w:rsidP="00E90DC2">
            <w:r w:rsidRPr="00E90DC2">
              <w:t xml:space="preserve">The Growing Up Making Decisions study demonstrates that young people were supported by people they trusted and had good relationships with – with family and peer relationships being key. Young people also wanted to and needed to be allowed to make some mistakes. In terms of building or enhancing capacity, study participants highlighted the importance of active and supported long-term incremental learning. Without this, there is a risk that young people are unable to express will and preference for significant decisions in their life – in particular, where to live, who to </w:t>
            </w:r>
            <w:r w:rsidRPr="00E90DC2">
              <w:lastRenderedPageBreak/>
              <w:t xml:space="preserve">live with, relationships, finance, </w:t>
            </w:r>
            <w:proofErr w:type="gramStart"/>
            <w:r w:rsidRPr="00E90DC2">
              <w:t>education</w:t>
            </w:r>
            <w:proofErr w:type="gramEnd"/>
            <w:r w:rsidRPr="00E90DC2">
              <w:t xml:space="preserve"> or work. </w:t>
            </w:r>
          </w:p>
          <w:p w14:paraId="67D4A604" w14:textId="77777777" w:rsidR="00930977" w:rsidRPr="00E90DC2" w:rsidRDefault="00930977" w:rsidP="00E90DC2">
            <w:pPr>
              <w:rPr>
                <w:b/>
                <w:bCs/>
              </w:rPr>
            </w:pPr>
          </w:p>
          <w:p w14:paraId="63F1E52E" w14:textId="77777777" w:rsidR="00930977" w:rsidRPr="00E90DC2" w:rsidRDefault="00930977" w:rsidP="00E90DC2">
            <w:r w:rsidRPr="00E90DC2">
              <w:rPr>
                <w:b/>
                <w:bCs/>
              </w:rPr>
              <w:t>Supporting young people to engage with risk</w:t>
            </w:r>
            <w:r w:rsidRPr="00E90DC2">
              <w:t xml:space="preserve"> – An approach should include assertiveness training in the NDIS to support capacity to identify risk. For many young people, their parents and support workers helped develop their skills. For some young people, they went to specific training or sought to learn specific life skills. This included assertiveness training. </w:t>
            </w:r>
          </w:p>
          <w:p w14:paraId="51F20DF8" w14:textId="77777777" w:rsidR="00930977" w:rsidRPr="00E90DC2" w:rsidRDefault="00930977" w:rsidP="00E90DC2"/>
        </w:tc>
        <w:tc>
          <w:tcPr>
            <w:tcW w:w="1417" w:type="dxa"/>
          </w:tcPr>
          <w:p w14:paraId="4E0ED163" w14:textId="77777777" w:rsidR="00930977" w:rsidRPr="00E90DC2" w:rsidRDefault="00930977" w:rsidP="00E90DC2">
            <w:r w:rsidRPr="00E90DC2">
              <w:lastRenderedPageBreak/>
              <w:t>3</w:t>
            </w:r>
          </w:p>
        </w:tc>
        <w:tc>
          <w:tcPr>
            <w:tcW w:w="4394" w:type="dxa"/>
          </w:tcPr>
          <w:p w14:paraId="2983AB31" w14:textId="77777777" w:rsidR="00930977" w:rsidRPr="00E90DC2" w:rsidRDefault="00930977" w:rsidP="00E90DC2">
            <w:pPr>
              <w:spacing w:after="160" w:line="259" w:lineRule="auto"/>
            </w:pPr>
            <w:r w:rsidRPr="00E90DC2">
              <w:t xml:space="preserve">Some young people talked about their right to make </w:t>
            </w:r>
            <w:proofErr w:type="gramStart"/>
            <w:r w:rsidRPr="00E90DC2">
              <w:t>mistakes, and</w:t>
            </w:r>
            <w:proofErr w:type="gramEnd"/>
            <w:r w:rsidRPr="00E90DC2">
              <w:t xml:space="preserve"> fighting for the right to make mistakes. One young person said:</w:t>
            </w:r>
          </w:p>
          <w:p w14:paraId="3B4B43AE" w14:textId="77777777" w:rsidR="00930977" w:rsidRPr="00E90DC2" w:rsidRDefault="00930977" w:rsidP="00E90DC2">
            <w:pPr>
              <w:rPr>
                <w:i/>
                <w:iCs/>
              </w:rPr>
            </w:pPr>
            <w:r w:rsidRPr="00E90DC2">
              <w:rPr>
                <w:i/>
                <w:iCs/>
              </w:rPr>
              <w:t xml:space="preserve">I want to have the right to mistakes. </w:t>
            </w:r>
            <w:proofErr w:type="gramStart"/>
            <w:r w:rsidRPr="00E90DC2">
              <w:rPr>
                <w:i/>
                <w:iCs/>
              </w:rPr>
              <w:t>Yeah</w:t>
            </w:r>
            <w:proofErr w:type="gramEnd"/>
            <w:r w:rsidRPr="00E90DC2">
              <w:rPr>
                <w:i/>
                <w:iCs/>
              </w:rPr>
              <w:t xml:space="preserve"> I made a lot of mistakes and I still do now. But I still want to make them. (Young person)</w:t>
            </w:r>
          </w:p>
          <w:p w14:paraId="51702B9F" w14:textId="77777777" w:rsidR="00930977" w:rsidRPr="00E90DC2" w:rsidRDefault="00930977" w:rsidP="00E90DC2">
            <w:pPr>
              <w:rPr>
                <w:i/>
                <w:iCs/>
              </w:rPr>
            </w:pPr>
          </w:p>
          <w:p w14:paraId="5746628E" w14:textId="77777777" w:rsidR="00930977" w:rsidRPr="00E90DC2" w:rsidRDefault="00930977" w:rsidP="00E90DC2">
            <w:pPr>
              <w:rPr>
                <w:i/>
                <w:iCs/>
              </w:rPr>
            </w:pPr>
          </w:p>
          <w:p w14:paraId="423FBBBA" w14:textId="77777777" w:rsidR="00930977" w:rsidRPr="00E90DC2" w:rsidRDefault="00930977" w:rsidP="00E90DC2">
            <w:pPr>
              <w:rPr>
                <w:i/>
                <w:iCs/>
              </w:rPr>
            </w:pPr>
          </w:p>
          <w:p w14:paraId="221195C1" w14:textId="77777777" w:rsidR="00930977" w:rsidRPr="00E90DC2" w:rsidRDefault="00930977" w:rsidP="00E90DC2">
            <w:pPr>
              <w:rPr>
                <w:i/>
                <w:iCs/>
              </w:rPr>
            </w:pPr>
          </w:p>
          <w:p w14:paraId="17AAD605" w14:textId="77777777" w:rsidR="00930977" w:rsidRPr="00E90DC2" w:rsidRDefault="00930977" w:rsidP="00E90DC2">
            <w:pPr>
              <w:rPr>
                <w:i/>
                <w:iCs/>
              </w:rPr>
            </w:pPr>
          </w:p>
          <w:p w14:paraId="0FE14D8B" w14:textId="77777777" w:rsidR="00930977" w:rsidRPr="00E90DC2" w:rsidRDefault="00930977" w:rsidP="00E90DC2">
            <w:pPr>
              <w:rPr>
                <w:i/>
                <w:iCs/>
              </w:rPr>
            </w:pPr>
          </w:p>
          <w:p w14:paraId="51688B29" w14:textId="77777777" w:rsidR="00930977" w:rsidRPr="00E90DC2" w:rsidRDefault="00930977" w:rsidP="00E90DC2">
            <w:pPr>
              <w:rPr>
                <w:i/>
                <w:iCs/>
              </w:rPr>
            </w:pPr>
          </w:p>
          <w:p w14:paraId="32AF908B" w14:textId="77777777" w:rsidR="00930977" w:rsidRPr="00E90DC2" w:rsidRDefault="00930977" w:rsidP="00E90DC2">
            <w:pPr>
              <w:rPr>
                <w:i/>
                <w:iCs/>
              </w:rPr>
            </w:pPr>
          </w:p>
          <w:p w14:paraId="1448E683" w14:textId="77777777" w:rsidR="00930977" w:rsidRPr="00E90DC2" w:rsidRDefault="00930977" w:rsidP="00E90DC2">
            <w:pPr>
              <w:rPr>
                <w:i/>
                <w:iCs/>
              </w:rPr>
            </w:pPr>
          </w:p>
          <w:p w14:paraId="4BBFE40A" w14:textId="77777777" w:rsidR="00930977" w:rsidRPr="00E90DC2" w:rsidRDefault="00930977" w:rsidP="00E90DC2">
            <w:pPr>
              <w:rPr>
                <w:i/>
                <w:iCs/>
              </w:rPr>
            </w:pPr>
          </w:p>
          <w:p w14:paraId="1B9C332B" w14:textId="77777777" w:rsidR="00930977" w:rsidRPr="00E90DC2" w:rsidRDefault="00930977" w:rsidP="00E90DC2">
            <w:pPr>
              <w:rPr>
                <w:i/>
                <w:iCs/>
              </w:rPr>
            </w:pPr>
          </w:p>
          <w:p w14:paraId="5263C2CD" w14:textId="77777777" w:rsidR="00930977" w:rsidRPr="00E90DC2" w:rsidRDefault="00930977" w:rsidP="00E90DC2">
            <w:pPr>
              <w:rPr>
                <w:i/>
                <w:iCs/>
              </w:rPr>
            </w:pPr>
          </w:p>
          <w:p w14:paraId="58350591" w14:textId="77777777" w:rsidR="00930977" w:rsidRPr="00E90DC2" w:rsidRDefault="00930977" w:rsidP="00E90DC2">
            <w:pPr>
              <w:rPr>
                <w:i/>
                <w:iCs/>
              </w:rPr>
            </w:pPr>
          </w:p>
          <w:p w14:paraId="05237661" w14:textId="77777777" w:rsidR="00930977" w:rsidRPr="00E90DC2" w:rsidRDefault="00930977" w:rsidP="00E90DC2">
            <w:pPr>
              <w:rPr>
                <w:i/>
                <w:iCs/>
              </w:rPr>
            </w:pPr>
          </w:p>
          <w:p w14:paraId="3C810D87" w14:textId="77777777" w:rsidR="00930977" w:rsidRPr="00E90DC2" w:rsidRDefault="00930977" w:rsidP="00E90DC2">
            <w:pPr>
              <w:rPr>
                <w:i/>
                <w:iCs/>
              </w:rPr>
            </w:pPr>
          </w:p>
          <w:p w14:paraId="3DF0C6EA" w14:textId="77777777" w:rsidR="00930977" w:rsidRPr="00E90DC2" w:rsidRDefault="00930977" w:rsidP="00E90DC2">
            <w:pPr>
              <w:rPr>
                <w:i/>
                <w:iCs/>
              </w:rPr>
            </w:pPr>
          </w:p>
          <w:p w14:paraId="2B6C8F8D" w14:textId="77777777" w:rsidR="00930977" w:rsidRDefault="00930977" w:rsidP="00E90DC2">
            <w:pPr>
              <w:spacing w:after="160" w:line="259" w:lineRule="auto"/>
            </w:pPr>
          </w:p>
          <w:p w14:paraId="590BD4CD" w14:textId="192D3BEB" w:rsidR="00930977" w:rsidRPr="00E90DC2" w:rsidRDefault="00930977" w:rsidP="00E90DC2">
            <w:pPr>
              <w:spacing w:after="160" w:line="259" w:lineRule="auto"/>
            </w:pPr>
            <w:r w:rsidRPr="00E90DC2">
              <w:t xml:space="preserve">Young people also recommend sharing their experiences with others to help them learn. </w:t>
            </w:r>
            <w:r w:rsidRPr="00E90DC2">
              <w:lastRenderedPageBreak/>
              <w:t xml:space="preserve">For example, one wrote a blog post about their experience at school which is on a disability organisation’s website. Another, when asked what </w:t>
            </w:r>
            <w:r w:rsidR="00A24483" w:rsidRPr="00E90DC2">
              <w:t xml:space="preserve">they </w:t>
            </w:r>
            <w:r w:rsidRPr="00E90DC2">
              <w:t>would say to other young people, said ‘</w:t>
            </w:r>
            <w:r w:rsidRPr="00E90DC2">
              <w:rPr>
                <w:i/>
              </w:rPr>
              <w:t>keep it at your own pace’</w:t>
            </w:r>
            <w:r w:rsidR="00A24483">
              <w:rPr>
                <w:i/>
              </w:rPr>
              <w:t>.</w:t>
            </w:r>
            <w:r w:rsidRPr="00E90DC2">
              <w:t xml:space="preserve">  </w:t>
            </w:r>
            <w:proofErr w:type="gramStart"/>
            <w:r w:rsidRPr="00E90DC2">
              <w:t>With regard to</w:t>
            </w:r>
            <w:proofErr w:type="gramEnd"/>
            <w:r w:rsidRPr="00E90DC2">
              <w:t xml:space="preserve"> decision making and risk - </w:t>
            </w:r>
            <w:r w:rsidR="002561D8">
              <w:t>y</w:t>
            </w:r>
            <w:r w:rsidRPr="00E90DC2">
              <w:t>oung people also said what they did not like. This included:</w:t>
            </w:r>
          </w:p>
          <w:p w14:paraId="35EF957D" w14:textId="77777777" w:rsidR="00E90DC2" w:rsidRPr="00E90DC2" w:rsidRDefault="00E90DC2" w:rsidP="00E90DC2">
            <w:pPr>
              <w:numPr>
                <w:ilvl w:val="0"/>
                <w:numId w:val="24"/>
              </w:numPr>
              <w:spacing w:after="160" w:line="259" w:lineRule="auto"/>
              <w:contextualSpacing/>
              <w:rPr>
                <w:i/>
              </w:rPr>
            </w:pPr>
            <w:r w:rsidRPr="00E90DC2">
              <w:rPr>
                <w:i/>
              </w:rPr>
              <w:t>Surprises or being rushed</w:t>
            </w:r>
          </w:p>
          <w:p w14:paraId="4346AE28" w14:textId="77777777" w:rsidR="00E90DC2" w:rsidRPr="00E90DC2" w:rsidRDefault="00E90DC2" w:rsidP="00E90DC2">
            <w:pPr>
              <w:numPr>
                <w:ilvl w:val="0"/>
                <w:numId w:val="24"/>
              </w:numPr>
              <w:spacing w:after="160" w:line="259" w:lineRule="auto"/>
              <w:contextualSpacing/>
              <w:rPr>
                <w:i/>
              </w:rPr>
            </w:pPr>
            <w:r w:rsidRPr="00E90DC2">
              <w:rPr>
                <w:i/>
              </w:rPr>
              <w:t>People deciding for them in general</w:t>
            </w:r>
          </w:p>
          <w:p w14:paraId="099414E5" w14:textId="77777777" w:rsidR="00E90DC2" w:rsidRPr="00E90DC2" w:rsidRDefault="00E90DC2" w:rsidP="00E90DC2">
            <w:pPr>
              <w:numPr>
                <w:ilvl w:val="0"/>
                <w:numId w:val="24"/>
              </w:numPr>
              <w:spacing w:after="160" w:line="259" w:lineRule="auto"/>
              <w:contextualSpacing/>
              <w:rPr>
                <w:i/>
              </w:rPr>
            </w:pPr>
            <w:r w:rsidRPr="00E90DC2">
              <w:rPr>
                <w:i/>
              </w:rPr>
              <w:t xml:space="preserve">People deciding for them for specific areas, such as ‘what you’re going to do for a living’ </w:t>
            </w:r>
          </w:p>
          <w:p w14:paraId="10F238EF" w14:textId="77777777" w:rsidR="00E90DC2" w:rsidRPr="00E90DC2" w:rsidRDefault="00E90DC2" w:rsidP="00E90DC2">
            <w:pPr>
              <w:numPr>
                <w:ilvl w:val="0"/>
                <w:numId w:val="24"/>
              </w:numPr>
              <w:contextualSpacing/>
              <w:rPr>
                <w:i/>
                <w:iCs/>
              </w:rPr>
            </w:pPr>
            <w:r w:rsidRPr="00E90DC2">
              <w:rPr>
                <w:i/>
                <w:iCs/>
              </w:rPr>
              <w:t xml:space="preserve">Not being pushed to talk about something or </w:t>
            </w:r>
            <w:proofErr w:type="gramStart"/>
            <w:r w:rsidRPr="00E90DC2">
              <w:rPr>
                <w:i/>
                <w:iCs/>
              </w:rPr>
              <w:t>make a decision</w:t>
            </w:r>
            <w:proofErr w:type="gramEnd"/>
            <w:r w:rsidRPr="00E90DC2">
              <w:rPr>
                <w:i/>
                <w:iCs/>
              </w:rPr>
              <w:t xml:space="preserve"> (Young person).</w:t>
            </w:r>
          </w:p>
        </w:tc>
        <w:tc>
          <w:tcPr>
            <w:tcW w:w="1701" w:type="dxa"/>
          </w:tcPr>
          <w:p w14:paraId="377EF4F4" w14:textId="77777777" w:rsidR="00930977" w:rsidRPr="00E90DC2" w:rsidRDefault="00930977" w:rsidP="00E90DC2">
            <w:r w:rsidRPr="00E90DC2">
              <w:lastRenderedPageBreak/>
              <w:t>Pp 43-44</w:t>
            </w:r>
          </w:p>
          <w:p w14:paraId="1C87FD19" w14:textId="77777777" w:rsidR="00930977" w:rsidRPr="00E90DC2" w:rsidRDefault="00930977" w:rsidP="00E90DC2"/>
          <w:p w14:paraId="2805745C" w14:textId="77777777" w:rsidR="00930977" w:rsidRPr="00E90DC2" w:rsidRDefault="00930977" w:rsidP="00E90DC2"/>
          <w:p w14:paraId="744DC3D0" w14:textId="77777777" w:rsidR="00930977" w:rsidRPr="00E90DC2" w:rsidRDefault="00930977" w:rsidP="00E90DC2"/>
          <w:p w14:paraId="665DECF5" w14:textId="77777777" w:rsidR="00930977" w:rsidRPr="00E90DC2" w:rsidRDefault="00930977" w:rsidP="00E90DC2"/>
          <w:p w14:paraId="3C587082" w14:textId="77777777" w:rsidR="00930977" w:rsidRPr="00E90DC2" w:rsidRDefault="00930977" w:rsidP="00E90DC2"/>
          <w:p w14:paraId="27E10E95" w14:textId="77777777" w:rsidR="00930977" w:rsidRPr="00E90DC2" w:rsidRDefault="00930977" w:rsidP="00E90DC2"/>
          <w:p w14:paraId="7FF93E6B" w14:textId="77777777" w:rsidR="00930977" w:rsidRPr="00E90DC2" w:rsidRDefault="00930977" w:rsidP="00E90DC2"/>
          <w:p w14:paraId="17DC9C57" w14:textId="77777777" w:rsidR="00930977" w:rsidRPr="00E90DC2" w:rsidRDefault="00930977" w:rsidP="00E90DC2"/>
          <w:p w14:paraId="056666B0" w14:textId="77777777" w:rsidR="00930977" w:rsidRPr="00E90DC2" w:rsidRDefault="00930977" w:rsidP="00E90DC2"/>
          <w:p w14:paraId="447E2070" w14:textId="77777777" w:rsidR="00930977" w:rsidRPr="00E90DC2" w:rsidRDefault="00930977" w:rsidP="00E90DC2"/>
          <w:p w14:paraId="35AF52DD" w14:textId="77777777" w:rsidR="00930977" w:rsidRPr="00E90DC2" w:rsidRDefault="00930977" w:rsidP="00E90DC2"/>
          <w:p w14:paraId="220AAA86" w14:textId="77777777" w:rsidR="00930977" w:rsidRPr="00E90DC2" w:rsidRDefault="00930977" w:rsidP="00E90DC2"/>
          <w:p w14:paraId="0E3CA00A" w14:textId="77777777" w:rsidR="00930977" w:rsidRPr="00E90DC2" w:rsidRDefault="00930977" w:rsidP="00E90DC2"/>
          <w:p w14:paraId="46D44C71" w14:textId="77777777" w:rsidR="00930977" w:rsidRPr="00E90DC2" w:rsidRDefault="00930977" w:rsidP="00E90DC2"/>
          <w:p w14:paraId="5985565A" w14:textId="77777777" w:rsidR="00930977" w:rsidRPr="00E90DC2" w:rsidRDefault="00930977" w:rsidP="00E90DC2"/>
          <w:p w14:paraId="6B4EA996" w14:textId="77777777" w:rsidR="00930977" w:rsidRPr="00E90DC2" w:rsidRDefault="00930977" w:rsidP="00E90DC2"/>
          <w:p w14:paraId="43CCD91A" w14:textId="77777777" w:rsidR="00930977" w:rsidRPr="00E90DC2" w:rsidRDefault="00930977" w:rsidP="00E90DC2"/>
          <w:p w14:paraId="24B18CCB" w14:textId="77777777" w:rsidR="00930977" w:rsidRPr="00E90DC2" w:rsidRDefault="00930977" w:rsidP="00E90DC2"/>
          <w:p w14:paraId="4A731320" w14:textId="77777777" w:rsidR="00930977" w:rsidRPr="00E90DC2" w:rsidRDefault="00930977" w:rsidP="00E90DC2"/>
          <w:p w14:paraId="3BB18220" w14:textId="77777777" w:rsidR="00930977" w:rsidRPr="00E90DC2" w:rsidRDefault="00930977" w:rsidP="00E90DC2"/>
          <w:p w14:paraId="23D9D4C0" w14:textId="77777777" w:rsidR="00930977" w:rsidRPr="00E90DC2" w:rsidRDefault="00930977" w:rsidP="00E90DC2"/>
          <w:p w14:paraId="76C39C65" w14:textId="77777777" w:rsidR="00930977" w:rsidRPr="00E90DC2" w:rsidRDefault="00930977" w:rsidP="00E90DC2"/>
          <w:p w14:paraId="4953B5F1" w14:textId="77777777" w:rsidR="00930977" w:rsidRPr="00E90DC2" w:rsidRDefault="00930977" w:rsidP="00E90DC2"/>
          <w:p w14:paraId="2B77C415" w14:textId="77777777" w:rsidR="00930977" w:rsidRPr="00E90DC2" w:rsidRDefault="00930977" w:rsidP="00E90DC2"/>
          <w:p w14:paraId="2CAA11D4" w14:textId="77777777" w:rsidR="00930977" w:rsidRPr="00E90DC2" w:rsidRDefault="00930977" w:rsidP="00E90DC2"/>
        </w:tc>
      </w:tr>
      <w:tr w:rsidR="00930977" w:rsidRPr="00E90DC2" w14:paraId="58E3F813" w14:textId="77777777" w:rsidTr="00666878">
        <w:tc>
          <w:tcPr>
            <w:tcW w:w="3397" w:type="dxa"/>
          </w:tcPr>
          <w:p w14:paraId="647ED52F" w14:textId="77777777" w:rsidR="00930977" w:rsidRPr="00E90DC2" w:rsidRDefault="00930977" w:rsidP="00E90DC2"/>
        </w:tc>
        <w:tc>
          <w:tcPr>
            <w:tcW w:w="3261" w:type="dxa"/>
          </w:tcPr>
          <w:p w14:paraId="5CE3DEFC" w14:textId="77777777" w:rsidR="00930977" w:rsidRPr="00E90DC2" w:rsidRDefault="00930977" w:rsidP="00E90DC2">
            <w:r w:rsidRPr="00E90DC2">
              <w:rPr>
                <w:b/>
                <w:bCs/>
              </w:rPr>
              <w:t>Trauma-informed</w:t>
            </w:r>
            <w:r w:rsidRPr="00E90DC2">
              <w:t xml:space="preserve"> – Young people recommend embedding trauma-informed practice in all mainstream and disability-specific services.</w:t>
            </w:r>
          </w:p>
        </w:tc>
        <w:tc>
          <w:tcPr>
            <w:tcW w:w="1417" w:type="dxa"/>
          </w:tcPr>
          <w:p w14:paraId="2CEE6242" w14:textId="77777777" w:rsidR="00930977" w:rsidRPr="00E90DC2" w:rsidRDefault="00930977" w:rsidP="00E90DC2">
            <w:r w:rsidRPr="00E90DC2">
              <w:t>2</w:t>
            </w:r>
          </w:p>
        </w:tc>
        <w:tc>
          <w:tcPr>
            <w:tcW w:w="4394" w:type="dxa"/>
          </w:tcPr>
          <w:p w14:paraId="503C495B" w14:textId="77777777" w:rsidR="00930977" w:rsidRPr="00E90DC2" w:rsidRDefault="00930977" w:rsidP="00E90DC2">
            <w:r w:rsidRPr="00E90DC2">
              <w:t>n/a</w:t>
            </w:r>
          </w:p>
        </w:tc>
        <w:tc>
          <w:tcPr>
            <w:tcW w:w="1701" w:type="dxa"/>
          </w:tcPr>
          <w:p w14:paraId="33D6F78F" w14:textId="77777777" w:rsidR="00930977" w:rsidRPr="00E90DC2" w:rsidRDefault="00930977" w:rsidP="00E90DC2">
            <w:r w:rsidRPr="00E90DC2">
              <w:t>P 17</w:t>
            </w:r>
          </w:p>
        </w:tc>
      </w:tr>
      <w:tr w:rsidR="00930977" w:rsidRPr="00E90DC2" w14:paraId="52BF25F9" w14:textId="77777777" w:rsidTr="00666878">
        <w:tc>
          <w:tcPr>
            <w:tcW w:w="3397" w:type="dxa"/>
          </w:tcPr>
          <w:p w14:paraId="3CB0C38C" w14:textId="77777777" w:rsidR="00930977" w:rsidRPr="00E90DC2" w:rsidRDefault="00930977" w:rsidP="00E90DC2"/>
        </w:tc>
        <w:tc>
          <w:tcPr>
            <w:tcW w:w="3261" w:type="dxa"/>
          </w:tcPr>
          <w:p w14:paraId="21AC4C8D" w14:textId="77777777" w:rsidR="00930977" w:rsidRPr="00E90DC2" w:rsidRDefault="00930977" w:rsidP="00E90DC2"/>
        </w:tc>
        <w:tc>
          <w:tcPr>
            <w:tcW w:w="1417" w:type="dxa"/>
          </w:tcPr>
          <w:p w14:paraId="6A018DD8" w14:textId="77777777" w:rsidR="00930977" w:rsidRPr="00E90DC2" w:rsidRDefault="00930977" w:rsidP="00E90DC2"/>
        </w:tc>
        <w:tc>
          <w:tcPr>
            <w:tcW w:w="4394" w:type="dxa"/>
          </w:tcPr>
          <w:p w14:paraId="58AB8264" w14:textId="77777777" w:rsidR="00930977" w:rsidRPr="00E90DC2" w:rsidRDefault="00930977" w:rsidP="00E90DC2"/>
        </w:tc>
        <w:tc>
          <w:tcPr>
            <w:tcW w:w="1701" w:type="dxa"/>
          </w:tcPr>
          <w:p w14:paraId="46B617E2" w14:textId="77777777" w:rsidR="00930977" w:rsidRPr="00E90DC2" w:rsidRDefault="00930977" w:rsidP="00E90DC2"/>
        </w:tc>
      </w:tr>
      <w:tr w:rsidR="00930977" w:rsidRPr="00E90DC2" w14:paraId="2582ACA5" w14:textId="77777777" w:rsidTr="00930977">
        <w:tc>
          <w:tcPr>
            <w:tcW w:w="3397" w:type="dxa"/>
            <w:shd w:val="clear" w:color="auto" w:fill="FFC000" w:themeFill="accent4"/>
          </w:tcPr>
          <w:p w14:paraId="0A209861" w14:textId="3E97992A" w:rsidR="00930977" w:rsidRPr="00EF273C" w:rsidRDefault="00930977" w:rsidP="00EF273C">
            <w:pPr>
              <w:pStyle w:val="ListParagraph"/>
              <w:numPr>
                <w:ilvl w:val="0"/>
                <w:numId w:val="26"/>
              </w:numPr>
              <w:rPr>
                <w:b/>
                <w:bCs/>
              </w:rPr>
            </w:pPr>
            <w:r w:rsidRPr="00EF273C">
              <w:rPr>
                <w:b/>
                <w:bCs/>
              </w:rPr>
              <w:t>An NDIS-wide participant safeguarding strategy</w:t>
            </w:r>
          </w:p>
          <w:p w14:paraId="1F826954" w14:textId="77777777" w:rsidR="00930977" w:rsidRPr="00E90DC2" w:rsidRDefault="00930977" w:rsidP="00E90DC2">
            <w:pPr>
              <w:numPr>
                <w:ilvl w:val="0"/>
                <w:numId w:val="22"/>
              </w:numPr>
              <w:contextualSpacing/>
            </w:pPr>
            <w:r w:rsidRPr="00E90DC2">
              <w:t>one strategic approach to participant safeguarding in the NDIS</w:t>
            </w:r>
          </w:p>
          <w:p w14:paraId="11276C2E" w14:textId="2945CA16" w:rsidR="00930977" w:rsidRPr="00E90DC2" w:rsidRDefault="00930977" w:rsidP="00565A4B">
            <w:pPr>
              <w:numPr>
                <w:ilvl w:val="0"/>
                <w:numId w:val="22"/>
              </w:numPr>
              <w:contextualSpacing/>
              <w:rPr>
                <w:b/>
                <w:bCs/>
              </w:rPr>
            </w:pPr>
            <w:r w:rsidRPr="00E90DC2">
              <w:t>designed with strong engagement from participants</w:t>
            </w:r>
          </w:p>
        </w:tc>
        <w:tc>
          <w:tcPr>
            <w:tcW w:w="10773" w:type="dxa"/>
            <w:gridSpan w:val="4"/>
            <w:shd w:val="clear" w:color="auto" w:fill="FFC000" w:themeFill="accent4"/>
          </w:tcPr>
          <w:p w14:paraId="01AB5904" w14:textId="77777777" w:rsidR="00930977" w:rsidRPr="00E90DC2" w:rsidRDefault="00930977" w:rsidP="00E90DC2"/>
        </w:tc>
      </w:tr>
      <w:tr w:rsidR="00930977" w:rsidRPr="00E90DC2" w14:paraId="3378AC90" w14:textId="77777777" w:rsidTr="00666878">
        <w:tc>
          <w:tcPr>
            <w:tcW w:w="3397" w:type="dxa"/>
          </w:tcPr>
          <w:p w14:paraId="212606A5" w14:textId="77777777" w:rsidR="00930977" w:rsidRPr="00E90DC2" w:rsidRDefault="00930977" w:rsidP="00E90DC2"/>
        </w:tc>
        <w:tc>
          <w:tcPr>
            <w:tcW w:w="3261" w:type="dxa"/>
          </w:tcPr>
          <w:p w14:paraId="1A799A8B" w14:textId="77777777" w:rsidR="00930977" w:rsidRPr="00E90DC2" w:rsidRDefault="00930977" w:rsidP="00E90DC2">
            <w:r w:rsidRPr="00E90DC2">
              <w:rPr>
                <w:b/>
                <w:bCs/>
              </w:rPr>
              <w:t xml:space="preserve">One strategic approach - </w:t>
            </w:r>
            <w:r w:rsidRPr="00E90DC2">
              <w:t xml:space="preserve">Any </w:t>
            </w:r>
            <w:r w:rsidRPr="00E90DC2">
              <w:rPr>
                <w:i/>
                <w:iCs/>
              </w:rPr>
              <w:t>single</w:t>
            </w:r>
            <w:r w:rsidRPr="00E90DC2">
              <w:t xml:space="preserve"> approach should promote a diverse range of ways for children and young people to connect, communicate and gather (build community) to enable the sharing of knowledge and experience, especially </w:t>
            </w:r>
            <w:proofErr w:type="gramStart"/>
            <w:r w:rsidRPr="00E90DC2">
              <w:t>with regard to</w:t>
            </w:r>
            <w:proofErr w:type="gramEnd"/>
            <w:r w:rsidRPr="00E90DC2">
              <w:t xml:space="preserve"> safe-guarding access to the NDIS and non-NDIS supports. </w:t>
            </w:r>
          </w:p>
          <w:p w14:paraId="462A8E34" w14:textId="77777777" w:rsidR="00930977" w:rsidRPr="00E90DC2" w:rsidRDefault="00930977" w:rsidP="00E90DC2"/>
          <w:p w14:paraId="699E3435" w14:textId="77777777" w:rsidR="00930977" w:rsidRPr="00E90DC2" w:rsidRDefault="00930977" w:rsidP="00E90DC2">
            <w:pPr>
              <w:spacing w:after="160" w:line="259" w:lineRule="auto"/>
            </w:pPr>
            <w:r w:rsidRPr="00E90DC2">
              <w:t xml:space="preserve">Participants from CYDA consultations spoke repeatedly of the isolating experience of being a young person with disability due to the lack of awareness by mainstream services.  They claim that as the primary holder of disability knowledge and experience, young people are required to relentlessly advocate for greater understanding by health professionals and service providers. Whilst this burden of self-advocacy and isolation continues, discrimination and ableism will remain unchallenged in our service system. </w:t>
            </w:r>
          </w:p>
          <w:p w14:paraId="7545D4DB" w14:textId="77777777" w:rsidR="00930977" w:rsidRPr="00E90DC2" w:rsidRDefault="00930977" w:rsidP="00E90DC2">
            <w:r w:rsidRPr="00E90DC2">
              <w:lastRenderedPageBreak/>
              <w:t>This was particularly relevant with transitional services. According to participants, there is an additional burden associated with telling their story due to staff turnover/loss of knowledge within service providers. Participants highlighted a need for greater consistency of staff and the role of government in providing this through sustainable funding models.</w:t>
            </w:r>
          </w:p>
          <w:p w14:paraId="1303BC37" w14:textId="77777777" w:rsidR="00930977" w:rsidRPr="00E90DC2" w:rsidRDefault="00930977" w:rsidP="00E90DC2"/>
          <w:p w14:paraId="115837C4" w14:textId="77777777" w:rsidR="00930977" w:rsidRPr="00E90DC2" w:rsidRDefault="00930977" w:rsidP="00E90DC2">
            <w:r w:rsidRPr="00E90DC2">
              <w:t>The divide between state and federal support systems can be challenging; leaving young people unsure of where to get help. This includes state systems deferring to the NDIS or the NDIS deferring to the education system.</w:t>
            </w:r>
          </w:p>
        </w:tc>
        <w:tc>
          <w:tcPr>
            <w:tcW w:w="1417" w:type="dxa"/>
          </w:tcPr>
          <w:p w14:paraId="00600D02" w14:textId="77777777" w:rsidR="00930977" w:rsidRPr="00E90DC2" w:rsidRDefault="00930977" w:rsidP="00E90DC2">
            <w:r w:rsidRPr="00E90DC2">
              <w:lastRenderedPageBreak/>
              <w:t>1</w:t>
            </w:r>
          </w:p>
        </w:tc>
        <w:tc>
          <w:tcPr>
            <w:tcW w:w="4394" w:type="dxa"/>
          </w:tcPr>
          <w:p w14:paraId="7FDFBF0B" w14:textId="77777777" w:rsidR="00930977" w:rsidRPr="00E90DC2" w:rsidRDefault="00930977" w:rsidP="00E90DC2">
            <w:pPr>
              <w:rPr>
                <w:i/>
                <w:iCs/>
              </w:rPr>
            </w:pPr>
            <w:r w:rsidRPr="00E90DC2">
              <w:rPr>
                <w:i/>
                <w:iCs/>
              </w:rPr>
              <w:t xml:space="preserve">“There’s a real issue between the interfaces between the state and federal care, so like education   like schools and stuff is one of those places that that happens because like   the best example I can think of is with the NDIA’s proposal for early intervention supports for children on the autism spectrum.  They’re proposing cutting funding by 40% when a child reaches the age of 7 because in the agreement between the state and the Federal Government the state is supposed to pick that up with schooling, but we know that doesn’t happen in practice and so the Federal Government is trying to propose these decisions, they’re not working collaboratively, and it just continues to leave gaps.” </w:t>
            </w:r>
            <w:r w:rsidRPr="00E90DC2">
              <w:t>(Young person)</w:t>
            </w:r>
          </w:p>
        </w:tc>
        <w:tc>
          <w:tcPr>
            <w:tcW w:w="1701" w:type="dxa"/>
          </w:tcPr>
          <w:p w14:paraId="45B1077A" w14:textId="77777777" w:rsidR="00930977" w:rsidRPr="00E90DC2" w:rsidRDefault="00930977" w:rsidP="00E90DC2">
            <w:r w:rsidRPr="00E90DC2">
              <w:t>P 16</w:t>
            </w:r>
          </w:p>
        </w:tc>
      </w:tr>
      <w:tr w:rsidR="00930977" w:rsidRPr="00E90DC2" w14:paraId="7AEA48B5" w14:textId="77777777" w:rsidTr="00930977">
        <w:tc>
          <w:tcPr>
            <w:tcW w:w="3397" w:type="dxa"/>
            <w:shd w:val="clear" w:color="auto" w:fill="C5E0B3" w:themeFill="accent6" w:themeFillTint="66"/>
          </w:tcPr>
          <w:p w14:paraId="3780D09A" w14:textId="67AD51B1" w:rsidR="00930977" w:rsidRPr="00EF273C" w:rsidRDefault="00930977" w:rsidP="00EF273C">
            <w:pPr>
              <w:pStyle w:val="ListParagraph"/>
              <w:numPr>
                <w:ilvl w:val="0"/>
                <w:numId w:val="26"/>
              </w:numPr>
              <w:rPr>
                <w:b/>
              </w:rPr>
            </w:pPr>
            <w:r w:rsidRPr="00EF273C">
              <w:rPr>
                <w:b/>
              </w:rPr>
              <w:t>An improved and individualised approach to work with participants to understand risk and build safeguards</w:t>
            </w:r>
          </w:p>
          <w:p w14:paraId="63CF77F0" w14:textId="6E2267E1" w:rsidR="00E90DC2" w:rsidRPr="00E90DC2" w:rsidRDefault="00930977" w:rsidP="00E90DC2">
            <w:pPr>
              <w:numPr>
                <w:ilvl w:val="0"/>
                <w:numId w:val="23"/>
              </w:numPr>
              <w:contextualSpacing/>
              <w:rPr>
                <w:b/>
                <w:bCs/>
                <w:sz w:val="18"/>
                <w:szCs w:val="18"/>
              </w:rPr>
            </w:pPr>
            <w:r w:rsidRPr="00E90DC2">
              <w:rPr>
                <w:b/>
              </w:rPr>
              <w:t xml:space="preserve">that reflects their needs, values, </w:t>
            </w:r>
            <w:proofErr w:type="gramStart"/>
            <w:r w:rsidRPr="00E90DC2">
              <w:rPr>
                <w:b/>
              </w:rPr>
              <w:t>priorities</w:t>
            </w:r>
            <w:proofErr w:type="gramEnd"/>
            <w:r w:rsidRPr="00E90DC2">
              <w:rPr>
                <w:b/>
              </w:rPr>
              <w:t xml:space="preserve"> and experiences</w:t>
            </w:r>
          </w:p>
        </w:tc>
        <w:tc>
          <w:tcPr>
            <w:tcW w:w="10773" w:type="dxa"/>
            <w:gridSpan w:val="4"/>
            <w:shd w:val="clear" w:color="auto" w:fill="C5E0B3" w:themeFill="accent6" w:themeFillTint="66"/>
          </w:tcPr>
          <w:p w14:paraId="101E7139" w14:textId="77777777" w:rsidR="00930977" w:rsidRPr="00E90DC2" w:rsidRDefault="00930977" w:rsidP="00E90DC2"/>
        </w:tc>
      </w:tr>
      <w:tr w:rsidR="00930977" w:rsidRPr="00E90DC2" w14:paraId="7ACBAC27" w14:textId="77777777" w:rsidTr="00666878">
        <w:tc>
          <w:tcPr>
            <w:tcW w:w="3397" w:type="dxa"/>
          </w:tcPr>
          <w:p w14:paraId="08F44004" w14:textId="77777777" w:rsidR="00930977" w:rsidRPr="00E90DC2" w:rsidRDefault="00930977" w:rsidP="00E90DC2"/>
        </w:tc>
        <w:tc>
          <w:tcPr>
            <w:tcW w:w="3261" w:type="dxa"/>
          </w:tcPr>
          <w:p w14:paraId="7E6EADBF" w14:textId="426D4673" w:rsidR="00930977" w:rsidRPr="00E90DC2" w:rsidRDefault="00930977" w:rsidP="00E90DC2">
            <w:r w:rsidRPr="00E90DC2">
              <w:rPr>
                <w:b/>
                <w:bCs/>
              </w:rPr>
              <w:t xml:space="preserve">Reflecting needs, values, priorities, and experiences - </w:t>
            </w:r>
            <w:r w:rsidRPr="00E90DC2">
              <w:t xml:space="preserve">Any </w:t>
            </w:r>
            <w:r w:rsidRPr="00E90DC2">
              <w:lastRenderedPageBreak/>
              <w:t xml:space="preserve">approach to embedding aspects of safety relevant to children and young people with disability, should emphasise the importance of individualised approaches to addressing communication needs, building trust, supporting </w:t>
            </w:r>
            <w:proofErr w:type="gramStart"/>
            <w:r w:rsidRPr="00E90DC2">
              <w:t>self-care</w:t>
            </w:r>
            <w:proofErr w:type="gramEnd"/>
            <w:r w:rsidRPr="00E90DC2">
              <w:t xml:space="preserve"> and attending to medical tasks and emergency planning. The National Principles for Child Safe Organisations</w:t>
            </w:r>
            <w:r w:rsidRPr="00E90DC2">
              <w:rPr>
                <w:vertAlign w:val="superscript"/>
              </w:rPr>
              <w:footnoteReference w:id="5"/>
            </w:r>
            <w:r w:rsidRPr="00E90DC2">
              <w:t xml:space="preserve"> have been developed to keep children and young people safe. Yet, some organisations (including the NDIS) do not adequately support children and young people with disability or fully understand what it means to keep them safe. </w:t>
            </w:r>
          </w:p>
          <w:p w14:paraId="770C7AE9" w14:textId="77777777" w:rsidR="00930977" w:rsidRPr="00E90DC2" w:rsidRDefault="00930977" w:rsidP="00E90DC2"/>
          <w:p w14:paraId="34D426AB" w14:textId="77777777" w:rsidR="00930977" w:rsidRPr="00E90DC2" w:rsidRDefault="00930977" w:rsidP="00E90DC2"/>
          <w:p w14:paraId="49DC48DC" w14:textId="77777777" w:rsidR="00930977" w:rsidRPr="00E90DC2" w:rsidRDefault="00930977" w:rsidP="00E90DC2"/>
        </w:tc>
        <w:tc>
          <w:tcPr>
            <w:tcW w:w="1417" w:type="dxa"/>
          </w:tcPr>
          <w:p w14:paraId="22E3F87D" w14:textId="77777777" w:rsidR="00930977" w:rsidRPr="00E90DC2" w:rsidRDefault="00930977" w:rsidP="00E90DC2">
            <w:r w:rsidRPr="00E90DC2">
              <w:lastRenderedPageBreak/>
              <w:t>2</w:t>
            </w:r>
          </w:p>
          <w:p w14:paraId="1EC0A1B6" w14:textId="77777777" w:rsidR="00930977" w:rsidRPr="00E90DC2" w:rsidRDefault="00930977" w:rsidP="00E90DC2"/>
          <w:p w14:paraId="5F0895D6" w14:textId="77777777" w:rsidR="00930977" w:rsidRPr="00E90DC2" w:rsidRDefault="00930977" w:rsidP="00E90DC2"/>
          <w:p w14:paraId="676920F6" w14:textId="77777777" w:rsidR="00930977" w:rsidRPr="00E90DC2" w:rsidRDefault="00930977" w:rsidP="00E90DC2"/>
          <w:p w14:paraId="47225EA0" w14:textId="77777777" w:rsidR="00930977" w:rsidRPr="00E90DC2" w:rsidRDefault="00930977" w:rsidP="00E90DC2"/>
          <w:p w14:paraId="0C94F120" w14:textId="77777777" w:rsidR="00930977" w:rsidRPr="00E90DC2" w:rsidRDefault="00930977" w:rsidP="00E90DC2"/>
          <w:p w14:paraId="48F319AA" w14:textId="77777777" w:rsidR="00930977" w:rsidRPr="00E90DC2" w:rsidRDefault="00930977" w:rsidP="00E90DC2"/>
          <w:p w14:paraId="312C5BB6" w14:textId="77777777" w:rsidR="00930977" w:rsidRPr="00E90DC2" w:rsidRDefault="00930977" w:rsidP="00E90DC2"/>
          <w:p w14:paraId="0DC71D80" w14:textId="77777777" w:rsidR="00930977" w:rsidRPr="00E90DC2" w:rsidRDefault="00930977" w:rsidP="00E90DC2"/>
          <w:p w14:paraId="2AC37CCF" w14:textId="77777777" w:rsidR="00930977" w:rsidRPr="00E90DC2" w:rsidRDefault="00930977" w:rsidP="00E90DC2"/>
          <w:p w14:paraId="2897EBB7" w14:textId="77777777" w:rsidR="00930977" w:rsidRPr="00E90DC2" w:rsidRDefault="00930977" w:rsidP="00E90DC2"/>
          <w:p w14:paraId="673A8F23" w14:textId="77777777" w:rsidR="00930977" w:rsidRPr="00E90DC2" w:rsidRDefault="00930977" w:rsidP="00E90DC2"/>
          <w:p w14:paraId="4C9232BE" w14:textId="77777777" w:rsidR="00930977" w:rsidRPr="00E90DC2" w:rsidRDefault="00930977" w:rsidP="00E90DC2"/>
          <w:p w14:paraId="1FB1749F" w14:textId="77777777" w:rsidR="00930977" w:rsidRPr="00E90DC2" w:rsidRDefault="00930977" w:rsidP="00E90DC2"/>
          <w:p w14:paraId="75D3CA2E" w14:textId="77777777" w:rsidR="00930977" w:rsidRPr="00E90DC2" w:rsidRDefault="00930977" w:rsidP="00E90DC2"/>
          <w:p w14:paraId="59003F6B" w14:textId="77777777" w:rsidR="00930977" w:rsidRPr="00E90DC2" w:rsidRDefault="00930977" w:rsidP="00E90DC2"/>
          <w:p w14:paraId="798DDDAF" w14:textId="77777777" w:rsidR="00930977" w:rsidRPr="00E90DC2" w:rsidRDefault="00930977" w:rsidP="00E90DC2"/>
          <w:p w14:paraId="527E7F67" w14:textId="77777777" w:rsidR="00930977" w:rsidRPr="00E90DC2" w:rsidRDefault="00930977" w:rsidP="00E90DC2"/>
          <w:p w14:paraId="59EA83EF" w14:textId="77777777" w:rsidR="00930977" w:rsidRPr="00E90DC2" w:rsidRDefault="00930977" w:rsidP="00E90DC2"/>
          <w:p w14:paraId="14D448C9" w14:textId="77777777" w:rsidR="00930977" w:rsidRPr="00E90DC2" w:rsidRDefault="00930977" w:rsidP="00E90DC2"/>
          <w:p w14:paraId="2EF8FC25" w14:textId="77777777" w:rsidR="00930977" w:rsidRPr="00E90DC2" w:rsidRDefault="00930977" w:rsidP="00E90DC2"/>
          <w:p w14:paraId="20EDE8F7" w14:textId="77777777" w:rsidR="00930977" w:rsidRPr="00E90DC2" w:rsidRDefault="00930977" w:rsidP="00E90DC2"/>
          <w:p w14:paraId="797111EA" w14:textId="77777777" w:rsidR="00930977" w:rsidRPr="00E90DC2" w:rsidRDefault="00930977" w:rsidP="00E90DC2"/>
        </w:tc>
        <w:tc>
          <w:tcPr>
            <w:tcW w:w="4394" w:type="dxa"/>
          </w:tcPr>
          <w:p w14:paraId="01C93107" w14:textId="77777777" w:rsidR="00930977" w:rsidRPr="00E90DC2" w:rsidRDefault="00930977" w:rsidP="00E90DC2">
            <w:pPr>
              <w:spacing w:after="160" w:line="259" w:lineRule="auto"/>
              <w:rPr>
                <w:i/>
              </w:rPr>
            </w:pPr>
            <w:r w:rsidRPr="00E90DC2">
              <w:rPr>
                <w:i/>
              </w:rPr>
              <w:lastRenderedPageBreak/>
              <w:t xml:space="preserve">I’m in the process of meeting with all our individual coordinators who work directly with </w:t>
            </w:r>
            <w:r w:rsidRPr="00E90DC2">
              <w:rPr>
                <w:i/>
              </w:rPr>
              <w:lastRenderedPageBreak/>
              <w:t xml:space="preserve">the </w:t>
            </w:r>
            <w:proofErr w:type="gramStart"/>
            <w:r w:rsidRPr="00E90DC2">
              <w:rPr>
                <w:i/>
              </w:rPr>
              <w:t>families, and</w:t>
            </w:r>
            <w:proofErr w:type="gramEnd"/>
            <w:r w:rsidRPr="00E90DC2">
              <w:rPr>
                <w:i/>
              </w:rPr>
              <w:t xml:space="preserve"> going over their national principles and the quality standards - NDIS national principles - and as part of that discussion, we talk about how important it is to not just have that communication and relationship with the family, but also with the participant that we’re supporting. I think one of the other challenges is obviously communication, so kids with disabilities may not have verbal communication, they may not be able to understand the same literature and information that we provide, as an organisation. </w:t>
            </w:r>
          </w:p>
          <w:p w14:paraId="1E6A8621" w14:textId="77777777" w:rsidR="00930977" w:rsidRPr="00E90DC2" w:rsidRDefault="00930977" w:rsidP="00E90DC2">
            <w:proofErr w:type="gramStart"/>
            <w:r w:rsidRPr="00E90DC2">
              <w:rPr>
                <w:i/>
                <w:iCs/>
              </w:rPr>
              <w:t>So</w:t>
            </w:r>
            <w:proofErr w:type="gramEnd"/>
            <w:r w:rsidRPr="00E90DC2">
              <w:rPr>
                <w:i/>
                <w:iCs/>
              </w:rPr>
              <w:t xml:space="preserve"> I’m currently working on some different forms of media - like video, for example, with animation - to try and educate children about who they can approach and how we manage their safety concerns. </w:t>
            </w:r>
            <w:r w:rsidRPr="00E90DC2">
              <w:t>(NDIS provider)</w:t>
            </w:r>
            <w:r w:rsidRPr="00E90DC2">
              <w:rPr>
                <w:vertAlign w:val="superscript"/>
              </w:rPr>
              <w:footnoteReference w:id="6"/>
            </w:r>
          </w:p>
          <w:p w14:paraId="1006FFDD" w14:textId="77777777" w:rsidR="00930977" w:rsidRPr="00E90DC2" w:rsidRDefault="00930977" w:rsidP="00E90DC2"/>
        </w:tc>
        <w:tc>
          <w:tcPr>
            <w:tcW w:w="1701" w:type="dxa"/>
          </w:tcPr>
          <w:p w14:paraId="77928A56" w14:textId="77777777" w:rsidR="00930977" w:rsidRPr="00E90DC2" w:rsidRDefault="00930977" w:rsidP="00E90DC2">
            <w:r w:rsidRPr="00E90DC2">
              <w:lastRenderedPageBreak/>
              <w:t>P 32</w:t>
            </w:r>
          </w:p>
          <w:p w14:paraId="4BD20944" w14:textId="77777777" w:rsidR="00930977" w:rsidRPr="00E90DC2" w:rsidRDefault="00930977" w:rsidP="00E90DC2"/>
          <w:p w14:paraId="53BA51A4" w14:textId="77777777" w:rsidR="00930977" w:rsidRPr="00E90DC2" w:rsidRDefault="00930977" w:rsidP="00E90DC2"/>
          <w:p w14:paraId="2DDAD58C" w14:textId="77777777" w:rsidR="00930977" w:rsidRPr="00E90DC2" w:rsidRDefault="00930977" w:rsidP="00E90DC2"/>
          <w:p w14:paraId="3F3F34F3" w14:textId="77777777" w:rsidR="00930977" w:rsidRPr="00E90DC2" w:rsidRDefault="00930977" w:rsidP="00E90DC2"/>
          <w:p w14:paraId="76DF26FD" w14:textId="77777777" w:rsidR="00930977" w:rsidRPr="00E90DC2" w:rsidRDefault="00930977" w:rsidP="00E90DC2"/>
          <w:p w14:paraId="69E7BA82" w14:textId="77777777" w:rsidR="00930977" w:rsidRPr="00E90DC2" w:rsidRDefault="00930977" w:rsidP="00E90DC2"/>
          <w:p w14:paraId="79EAFE24" w14:textId="77777777" w:rsidR="00930977" w:rsidRPr="00E90DC2" w:rsidRDefault="00930977" w:rsidP="00E90DC2"/>
          <w:p w14:paraId="4724A104" w14:textId="77777777" w:rsidR="00930977" w:rsidRPr="00E90DC2" w:rsidRDefault="00930977" w:rsidP="00E90DC2"/>
          <w:p w14:paraId="6341ECB2" w14:textId="77777777" w:rsidR="00930977" w:rsidRPr="00E90DC2" w:rsidRDefault="00930977" w:rsidP="00E90DC2"/>
          <w:p w14:paraId="7322451F" w14:textId="77777777" w:rsidR="00930977" w:rsidRPr="00E90DC2" w:rsidRDefault="00930977" w:rsidP="00E90DC2"/>
          <w:p w14:paraId="04C2BC03" w14:textId="77777777" w:rsidR="00930977" w:rsidRPr="00E90DC2" w:rsidRDefault="00930977" w:rsidP="00E90DC2"/>
          <w:p w14:paraId="3DB37B68" w14:textId="77777777" w:rsidR="00930977" w:rsidRPr="00E90DC2" w:rsidRDefault="00930977" w:rsidP="00E90DC2"/>
          <w:p w14:paraId="29922717" w14:textId="77777777" w:rsidR="00930977" w:rsidRPr="00E90DC2" w:rsidRDefault="00930977" w:rsidP="00E90DC2"/>
          <w:p w14:paraId="66F25CD1" w14:textId="77777777" w:rsidR="00930977" w:rsidRPr="00E90DC2" w:rsidRDefault="00930977" w:rsidP="00E90DC2"/>
          <w:p w14:paraId="7ADFB85B" w14:textId="77777777" w:rsidR="00930977" w:rsidRPr="00E90DC2" w:rsidRDefault="00930977" w:rsidP="00E90DC2"/>
          <w:p w14:paraId="73B0739E" w14:textId="77777777" w:rsidR="00930977" w:rsidRPr="00E90DC2" w:rsidRDefault="00930977" w:rsidP="00E90DC2"/>
          <w:p w14:paraId="53505847" w14:textId="77777777" w:rsidR="00930977" w:rsidRPr="00E90DC2" w:rsidRDefault="00930977" w:rsidP="00E90DC2"/>
          <w:p w14:paraId="4C577A94" w14:textId="77777777" w:rsidR="00930977" w:rsidRPr="00E90DC2" w:rsidRDefault="00930977" w:rsidP="00E90DC2"/>
          <w:p w14:paraId="530650FD" w14:textId="77777777" w:rsidR="00930977" w:rsidRPr="00E90DC2" w:rsidRDefault="00930977" w:rsidP="00E90DC2"/>
          <w:p w14:paraId="053013CF" w14:textId="77777777" w:rsidR="00930977" w:rsidRPr="00E90DC2" w:rsidRDefault="00930977" w:rsidP="00E90DC2"/>
          <w:p w14:paraId="2074AF43" w14:textId="77777777" w:rsidR="00930977" w:rsidRPr="00E90DC2" w:rsidRDefault="00930977" w:rsidP="00E90DC2"/>
          <w:p w14:paraId="3774669F" w14:textId="77777777" w:rsidR="00930977" w:rsidRPr="00E90DC2" w:rsidRDefault="00930977" w:rsidP="00E90DC2"/>
          <w:p w14:paraId="0791ADF8" w14:textId="77777777" w:rsidR="00930977" w:rsidRPr="00E90DC2" w:rsidRDefault="00930977" w:rsidP="00E90DC2"/>
        </w:tc>
      </w:tr>
      <w:tr w:rsidR="00930977" w:rsidRPr="00E90DC2" w14:paraId="1A25ACD3" w14:textId="77777777" w:rsidTr="00666878">
        <w:tc>
          <w:tcPr>
            <w:tcW w:w="3397" w:type="dxa"/>
          </w:tcPr>
          <w:p w14:paraId="729842AF" w14:textId="77777777" w:rsidR="00930977" w:rsidRPr="00E90DC2" w:rsidRDefault="00930977" w:rsidP="00E90DC2"/>
        </w:tc>
        <w:tc>
          <w:tcPr>
            <w:tcW w:w="3261" w:type="dxa"/>
          </w:tcPr>
          <w:p w14:paraId="6AB33036" w14:textId="33AF00BD" w:rsidR="00930977" w:rsidRPr="00E90DC2" w:rsidRDefault="00930977" w:rsidP="00E90DC2">
            <w:r w:rsidRPr="00E90DC2">
              <w:t xml:space="preserve">Any approach should focus on key </w:t>
            </w:r>
            <w:r w:rsidRPr="00E90DC2">
              <w:rPr>
                <w:b/>
                <w:bCs/>
              </w:rPr>
              <w:t>transitional periods</w:t>
            </w:r>
            <w:r w:rsidRPr="00E90DC2">
              <w:t xml:space="preserve">: from school to university to childhood to adulthood from education to </w:t>
            </w:r>
            <w:r w:rsidRPr="00E90DC2">
              <w:lastRenderedPageBreak/>
              <w:t xml:space="preserve">employment. Failure to recognise the individual needs of a young person within a larger life and structural context has meant that transition into adulthood remains a significant policy failure in the NDIS and related service systems.  It should also focus on </w:t>
            </w:r>
            <w:r w:rsidR="00624B80">
              <w:t xml:space="preserve">the </w:t>
            </w:r>
            <w:r w:rsidRPr="00E90DC2">
              <w:t>intersection of disability with other key transitions, such as the development of identity and status in the LGBTQIA+ community.</w:t>
            </w:r>
          </w:p>
          <w:p w14:paraId="774D735C" w14:textId="77777777" w:rsidR="00930977" w:rsidRPr="00E90DC2" w:rsidRDefault="00930977" w:rsidP="00E90DC2"/>
          <w:p w14:paraId="714F9844" w14:textId="77777777" w:rsidR="00930977" w:rsidRPr="00E90DC2" w:rsidRDefault="00930977" w:rsidP="00E90DC2">
            <w:pPr>
              <w:rPr>
                <w:b/>
                <w:bCs/>
              </w:rPr>
            </w:pPr>
          </w:p>
        </w:tc>
        <w:tc>
          <w:tcPr>
            <w:tcW w:w="1417" w:type="dxa"/>
          </w:tcPr>
          <w:p w14:paraId="15914EAF" w14:textId="77777777" w:rsidR="00930977" w:rsidRPr="00E90DC2" w:rsidRDefault="00930977" w:rsidP="00E90DC2">
            <w:r w:rsidRPr="00E90DC2">
              <w:lastRenderedPageBreak/>
              <w:t>3</w:t>
            </w:r>
          </w:p>
        </w:tc>
        <w:tc>
          <w:tcPr>
            <w:tcW w:w="4394" w:type="dxa"/>
          </w:tcPr>
          <w:p w14:paraId="5707BD41" w14:textId="77777777" w:rsidR="007B15F7" w:rsidRDefault="00930977" w:rsidP="00E90DC2">
            <w:r w:rsidRPr="00E90DC2">
              <w:t xml:space="preserve">Young people were also asked about the decisions they wanted to make in the future, during key transition periods. One young </w:t>
            </w:r>
            <w:r w:rsidRPr="00E90DC2">
              <w:lastRenderedPageBreak/>
              <w:t xml:space="preserve">person </w:t>
            </w:r>
            <w:proofErr w:type="gramStart"/>
            <w:r w:rsidRPr="00E90DC2">
              <w:t>answered</w:t>
            </w:r>
            <w:proofErr w:type="gramEnd"/>
            <w:r w:rsidRPr="00E90DC2">
              <w:t xml:space="preserve"> ‘good ones!’ </w:t>
            </w:r>
            <w:r w:rsidR="007B15F7">
              <w:t xml:space="preserve">- </w:t>
            </w:r>
            <w:r w:rsidRPr="00E90DC2">
              <w:t xml:space="preserve">Young Person with disability, Number 13 (#YP13). </w:t>
            </w:r>
          </w:p>
          <w:p w14:paraId="02844B4C" w14:textId="2BF45258" w:rsidR="00930977" w:rsidRPr="00E90DC2" w:rsidRDefault="00930977" w:rsidP="00E90DC2">
            <w:r w:rsidRPr="00E90DC2">
              <w:t>Young people identified a wide range of decisions they want to make in the future, including:</w:t>
            </w:r>
          </w:p>
          <w:p w14:paraId="28494D2C" w14:textId="77777777" w:rsidR="00930977" w:rsidRPr="00E90DC2" w:rsidRDefault="00930977" w:rsidP="00E90DC2">
            <w:pPr>
              <w:numPr>
                <w:ilvl w:val="0"/>
                <w:numId w:val="25"/>
              </w:numPr>
              <w:rPr>
                <w:i/>
                <w:iCs/>
              </w:rPr>
            </w:pPr>
            <w:r w:rsidRPr="00E90DC2">
              <w:rPr>
                <w:i/>
                <w:iCs/>
              </w:rPr>
              <w:t>Getting a job, changing jobs (#YP10), starting a business</w:t>
            </w:r>
          </w:p>
          <w:p w14:paraId="1F224B0F" w14:textId="77777777" w:rsidR="00930977" w:rsidRPr="00E90DC2" w:rsidRDefault="00930977" w:rsidP="00E90DC2">
            <w:pPr>
              <w:numPr>
                <w:ilvl w:val="0"/>
                <w:numId w:val="25"/>
              </w:numPr>
              <w:rPr>
                <w:i/>
                <w:iCs/>
              </w:rPr>
            </w:pPr>
            <w:r w:rsidRPr="00E90DC2">
              <w:rPr>
                <w:i/>
                <w:iCs/>
              </w:rPr>
              <w:t>Saving up for something, such as a new computer</w:t>
            </w:r>
          </w:p>
          <w:p w14:paraId="01A6402A" w14:textId="77777777" w:rsidR="00930977" w:rsidRPr="00E90DC2" w:rsidRDefault="00930977" w:rsidP="00E90DC2">
            <w:pPr>
              <w:numPr>
                <w:ilvl w:val="0"/>
                <w:numId w:val="25"/>
              </w:numPr>
              <w:rPr>
                <w:i/>
                <w:iCs/>
              </w:rPr>
            </w:pPr>
            <w:r w:rsidRPr="00E90DC2">
              <w:rPr>
                <w:i/>
                <w:iCs/>
              </w:rPr>
              <w:t>Moving out of home (#YP10), buying a house and ‘having everything really properly set up’ (#YP8)</w:t>
            </w:r>
          </w:p>
          <w:p w14:paraId="61F84A32" w14:textId="77777777" w:rsidR="00930977" w:rsidRPr="00E90DC2" w:rsidRDefault="00930977" w:rsidP="00E90DC2">
            <w:pPr>
              <w:numPr>
                <w:ilvl w:val="0"/>
                <w:numId w:val="25"/>
              </w:numPr>
              <w:rPr>
                <w:i/>
                <w:iCs/>
              </w:rPr>
            </w:pPr>
            <w:r w:rsidRPr="00E90DC2">
              <w:rPr>
                <w:i/>
                <w:iCs/>
              </w:rPr>
              <w:t>Getting a driving licence ‘without my licence, I can’t get a job, without a job, I can’t get a house’ (#YP3)</w:t>
            </w:r>
          </w:p>
          <w:p w14:paraId="0D435030" w14:textId="77777777" w:rsidR="00930977" w:rsidRPr="00E90DC2" w:rsidRDefault="00930977" w:rsidP="00E90DC2">
            <w:pPr>
              <w:numPr>
                <w:ilvl w:val="0"/>
                <w:numId w:val="25"/>
              </w:numPr>
              <w:rPr>
                <w:i/>
                <w:iCs/>
              </w:rPr>
            </w:pPr>
            <w:r w:rsidRPr="00E90DC2">
              <w:rPr>
                <w:i/>
                <w:iCs/>
              </w:rPr>
              <w:t>Travelling, ranging from finding a different way to get home from work and practising that new route (#YP10) to travelling overseas</w:t>
            </w:r>
          </w:p>
          <w:p w14:paraId="6A67EF37" w14:textId="77777777" w:rsidR="00930977" w:rsidRPr="00E90DC2" w:rsidRDefault="00930977" w:rsidP="00E90DC2">
            <w:pPr>
              <w:numPr>
                <w:ilvl w:val="0"/>
                <w:numId w:val="25"/>
              </w:numPr>
              <w:rPr>
                <w:i/>
                <w:iCs/>
              </w:rPr>
            </w:pPr>
            <w:r w:rsidRPr="00E90DC2">
              <w:rPr>
                <w:i/>
                <w:iCs/>
              </w:rPr>
              <w:t>Transitioning (gender)</w:t>
            </w:r>
          </w:p>
          <w:p w14:paraId="30511082" w14:textId="77777777" w:rsidR="00930977" w:rsidRPr="00E90DC2" w:rsidRDefault="00930977" w:rsidP="00E90DC2">
            <w:pPr>
              <w:numPr>
                <w:ilvl w:val="0"/>
                <w:numId w:val="25"/>
              </w:numPr>
            </w:pPr>
            <w:r w:rsidRPr="00E90DC2">
              <w:rPr>
                <w:i/>
                <w:iCs/>
              </w:rPr>
              <w:t>Having a relationship and a family</w:t>
            </w:r>
            <w:r w:rsidRPr="00E90DC2">
              <w:t>.</w:t>
            </w:r>
          </w:p>
          <w:p w14:paraId="30F32AE9" w14:textId="77777777" w:rsidR="00930977" w:rsidRPr="00E90DC2" w:rsidRDefault="00930977" w:rsidP="00E90DC2">
            <w:pPr>
              <w:rPr>
                <w:i/>
                <w:iCs/>
              </w:rPr>
            </w:pPr>
          </w:p>
        </w:tc>
        <w:tc>
          <w:tcPr>
            <w:tcW w:w="1701" w:type="dxa"/>
          </w:tcPr>
          <w:p w14:paraId="7BC204C2" w14:textId="77777777" w:rsidR="00930977" w:rsidRPr="00E90DC2" w:rsidRDefault="00930977" w:rsidP="00E90DC2">
            <w:r w:rsidRPr="00E90DC2">
              <w:lastRenderedPageBreak/>
              <w:t>pp. 19, 25, 26</w:t>
            </w:r>
          </w:p>
          <w:p w14:paraId="5D3D77B1" w14:textId="77777777" w:rsidR="00930977" w:rsidRPr="00E90DC2" w:rsidRDefault="00930977" w:rsidP="00E90DC2"/>
        </w:tc>
      </w:tr>
      <w:tr w:rsidR="00930977" w:rsidRPr="00E90DC2" w14:paraId="5BBF8E5A" w14:textId="77777777" w:rsidTr="00930977">
        <w:tc>
          <w:tcPr>
            <w:tcW w:w="3397" w:type="dxa"/>
            <w:shd w:val="clear" w:color="auto" w:fill="9CC2E5" w:themeFill="accent5" w:themeFillTint="99"/>
          </w:tcPr>
          <w:p w14:paraId="3263E73B" w14:textId="1F437601" w:rsidR="00930977" w:rsidRPr="00EF273C" w:rsidRDefault="00930977" w:rsidP="00EF273C">
            <w:pPr>
              <w:pStyle w:val="ListParagraph"/>
              <w:numPr>
                <w:ilvl w:val="0"/>
                <w:numId w:val="26"/>
              </w:numPr>
              <w:rPr>
                <w:b/>
                <w:bCs/>
              </w:rPr>
            </w:pPr>
            <w:r w:rsidRPr="00EF273C">
              <w:rPr>
                <w:b/>
                <w:bCs/>
              </w:rPr>
              <w:t>Improved safeguards deployed on an individual basis</w:t>
            </w:r>
          </w:p>
          <w:p w14:paraId="3DAA8E56" w14:textId="77777777" w:rsidR="00930977" w:rsidRPr="00E90DC2" w:rsidRDefault="00930977" w:rsidP="00E90DC2">
            <w:pPr>
              <w:numPr>
                <w:ilvl w:val="0"/>
                <w:numId w:val="23"/>
              </w:numPr>
              <w:contextualSpacing/>
            </w:pPr>
            <w:r w:rsidRPr="00E90DC2">
              <w:t xml:space="preserve">support participants in </w:t>
            </w:r>
            <w:r w:rsidRPr="00E90DC2">
              <w:rPr>
                <w:b/>
              </w:rPr>
              <w:t>decision-making</w:t>
            </w:r>
          </w:p>
          <w:p w14:paraId="53235328" w14:textId="77777777" w:rsidR="00930977" w:rsidRPr="00E90DC2" w:rsidRDefault="00930977" w:rsidP="00E90DC2">
            <w:pPr>
              <w:numPr>
                <w:ilvl w:val="0"/>
                <w:numId w:val="23"/>
              </w:numPr>
              <w:contextualSpacing/>
            </w:pPr>
            <w:r w:rsidRPr="00E90DC2">
              <w:t xml:space="preserve">rights, dignity, </w:t>
            </w:r>
            <w:proofErr w:type="gramStart"/>
            <w:r w:rsidRPr="00E90DC2">
              <w:t>risks</w:t>
            </w:r>
            <w:proofErr w:type="gramEnd"/>
            <w:r w:rsidRPr="00E90DC2">
              <w:t xml:space="preserve"> and safety</w:t>
            </w:r>
          </w:p>
          <w:p w14:paraId="0D39FE2D" w14:textId="1D854F7C" w:rsidR="00930977" w:rsidRPr="00E90DC2" w:rsidRDefault="00930977" w:rsidP="00E90DC2">
            <w:pPr>
              <w:numPr>
                <w:ilvl w:val="0"/>
                <w:numId w:val="23"/>
              </w:numPr>
              <w:contextualSpacing/>
            </w:pPr>
            <w:r w:rsidRPr="00E90DC2">
              <w:lastRenderedPageBreak/>
              <w:t>effective</w:t>
            </w:r>
            <w:r w:rsidR="00DD1EE8">
              <w:t>ly</w:t>
            </w:r>
            <w:r w:rsidRPr="00E90DC2">
              <w:t xml:space="preserve"> advocate for their right to be safe or to support safeguarding</w:t>
            </w:r>
          </w:p>
          <w:p w14:paraId="04D8B342" w14:textId="77777777" w:rsidR="00E90DC2" w:rsidRPr="00E90DC2" w:rsidRDefault="00930977" w:rsidP="00E90DC2">
            <w:pPr>
              <w:numPr>
                <w:ilvl w:val="0"/>
                <w:numId w:val="23"/>
              </w:numPr>
              <w:contextualSpacing/>
            </w:pPr>
            <w:r w:rsidRPr="00E90DC2">
              <w:t>effective complaints mechanisms</w:t>
            </w:r>
          </w:p>
        </w:tc>
        <w:tc>
          <w:tcPr>
            <w:tcW w:w="10773" w:type="dxa"/>
            <w:gridSpan w:val="4"/>
            <w:shd w:val="clear" w:color="auto" w:fill="9CC2E5" w:themeFill="accent5" w:themeFillTint="99"/>
          </w:tcPr>
          <w:p w14:paraId="22596D37" w14:textId="77777777" w:rsidR="00930977" w:rsidRPr="00E90DC2" w:rsidRDefault="00930977" w:rsidP="00E90DC2"/>
        </w:tc>
      </w:tr>
      <w:tr w:rsidR="00930977" w:rsidRPr="00E90DC2" w14:paraId="331583D2" w14:textId="77777777" w:rsidTr="00666878">
        <w:tc>
          <w:tcPr>
            <w:tcW w:w="3397" w:type="dxa"/>
          </w:tcPr>
          <w:p w14:paraId="5EC4F573" w14:textId="77777777" w:rsidR="00930977" w:rsidRPr="00E90DC2" w:rsidRDefault="00930977" w:rsidP="00E90DC2"/>
        </w:tc>
        <w:tc>
          <w:tcPr>
            <w:tcW w:w="3261" w:type="dxa"/>
          </w:tcPr>
          <w:p w14:paraId="0B05A26F" w14:textId="77777777" w:rsidR="00930977" w:rsidRPr="00E90DC2" w:rsidRDefault="00930977" w:rsidP="00E90DC2"/>
        </w:tc>
        <w:tc>
          <w:tcPr>
            <w:tcW w:w="1417" w:type="dxa"/>
          </w:tcPr>
          <w:p w14:paraId="72352A67" w14:textId="77777777" w:rsidR="00930977" w:rsidRPr="00E90DC2" w:rsidRDefault="00930977" w:rsidP="00E90DC2"/>
        </w:tc>
        <w:tc>
          <w:tcPr>
            <w:tcW w:w="4394" w:type="dxa"/>
          </w:tcPr>
          <w:p w14:paraId="7CA8A674" w14:textId="77777777" w:rsidR="00930977" w:rsidRPr="00E90DC2" w:rsidRDefault="00930977" w:rsidP="00E90DC2"/>
        </w:tc>
        <w:tc>
          <w:tcPr>
            <w:tcW w:w="1701" w:type="dxa"/>
          </w:tcPr>
          <w:p w14:paraId="6D06A5DA" w14:textId="77777777" w:rsidR="00930977" w:rsidRPr="00E90DC2" w:rsidRDefault="00930977" w:rsidP="00E90DC2"/>
        </w:tc>
      </w:tr>
      <w:tr w:rsidR="00930977" w:rsidRPr="00E90DC2" w14:paraId="55B815C9" w14:textId="77777777" w:rsidTr="00666878">
        <w:tc>
          <w:tcPr>
            <w:tcW w:w="3397" w:type="dxa"/>
          </w:tcPr>
          <w:p w14:paraId="5B6EF138" w14:textId="77777777" w:rsidR="00930977" w:rsidRPr="00E90DC2" w:rsidRDefault="00930977" w:rsidP="00E90DC2"/>
        </w:tc>
        <w:tc>
          <w:tcPr>
            <w:tcW w:w="3261" w:type="dxa"/>
          </w:tcPr>
          <w:p w14:paraId="1C5AA0FA" w14:textId="77777777" w:rsidR="00930977" w:rsidRPr="00E90DC2" w:rsidRDefault="00930977" w:rsidP="00E90DC2">
            <w:pPr>
              <w:rPr>
                <w:b/>
                <w:bCs/>
              </w:rPr>
            </w:pPr>
            <w:r w:rsidRPr="00E90DC2">
              <w:rPr>
                <w:b/>
                <w:bCs/>
              </w:rPr>
              <w:t>Decision- Making</w:t>
            </w:r>
            <w:r w:rsidRPr="00E90DC2">
              <w:t xml:space="preserve"> – approaches should align with and prepare children and young people to move from a ‘best interests’ decision-making framework for children as outlined in the United Nations Convention on the Rights of the Child (CRC) to a ‘rights, will and preferences’ framework as articulated in article 12 of the United Nations Convention on the Rights of Persons with Disabilities (CRPD). That they respect the </w:t>
            </w:r>
            <w:r w:rsidRPr="00E90DC2">
              <w:rPr>
                <w:b/>
                <w:bCs/>
              </w:rPr>
              <w:t>rights, will and preferences</w:t>
            </w:r>
            <w:r w:rsidRPr="00E90DC2">
              <w:t xml:space="preserve"> of the young person, and are proportional and </w:t>
            </w:r>
            <w:r w:rsidRPr="00E90DC2">
              <w:rPr>
                <w:b/>
                <w:bCs/>
              </w:rPr>
              <w:t>tailored to the person’s circumstances.</w:t>
            </w:r>
          </w:p>
          <w:p w14:paraId="5BDE6724" w14:textId="77777777" w:rsidR="00930977" w:rsidRPr="00E90DC2" w:rsidRDefault="00930977" w:rsidP="00E90DC2">
            <w:pPr>
              <w:rPr>
                <w:b/>
                <w:bCs/>
              </w:rPr>
            </w:pPr>
          </w:p>
          <w:p w14:paraId="7E27C57D" w14:textId="77777777" w:rsidR="00930977" w:rsidRPr="00E90DC2" w:rsidRDefault="00930977" w:rsidP="00E90DC2">
            <w:r w:rsidRPr="00E90DC2">
              <w:rPr>
                <w:b/>
                <w:bCs/>
              </w:rPr>
              <w:t xml:space="preserve">Decision </w:t>
            </w:r>
            <w:proofErr w:type="gramStart"/>
            <w:r w:rsidRPr="00E90DC2">
              <w:rPr>
                <w:b/>
                <w:bCs/>
              </w:rPr>
              <w:t>making</w:t>
            </w:r>
            <w:r w:rsidRPr="00E90DC2">
              <w:t xml:space="preserve">  -</w:t>
            </w:r>
            <w:proofErr w:type="gramEnd"/>
            <w:r w:rsidRPr="00E90DC2">
              <w:t xml:space="preserve">when providing Safe-guards in the NDIS,  it should be recognised (as detailed in the Growing Up Making Decisions study) that every young person has different </w:t>
            </w:r>
            <w:r w:rsidRPr="00E90DC2">
              <w:lastRenderedPageBreak/>
              <w:t>support needs when making decisions – ranging from no support to significant support. The type of support provided also changed depending on the type or scale of the decision and the potential consequences of that decision.</w:t>
            </w:r>
          </w:p>
        </w:tc>
        <w:tc>
          <w:tcPr>
            <w:tcW w:w="1417" w:type="dxa"/>
          </w:tcPr>
          <w:p w14:paraId="56D03E73" w14:textId="77777777" w:rsidR="00930977" w:rsidRPr="00E90DC2" w:rsidRDefault="00930977" w:rsidP="00E90DC2">
            <w:r w:rsidRPr="00E90DC2">
              <w:lastRenderedPageBreak/>
              <w:t>3</w:t>
            </w:r>
          </w:p>
          <w:p w14:paraId="0DF8AD4E" w14:textId="77777777" w:rsidR="00930977" w:rsidRPr="00E90DC2" w:rsidRDefault="00930977" w:rsidP="00E90DC2"/>
          <w:p w14:paraId="181D2F8D" w14:textId="77777777" w:rsidR="00930977" w:rsidRPr="00E90DC2" w:rsidRDefault="00930977" w:rsidP="00E90DC2"/>
          <w:p w14:paraId="32B60020" w14:textId="77777777" w:rsidR="00930977" w:rsidRPr="00E90DC2" w:rsidRDefault="00930977" w:rsidP="00E90DC2"/>
          <w:p w14:paraId="0B2FA58B" w14:textId="77777777" w:rsidR="00930977" w:rsidRPr="00E90DC2" w:rsidRDefault="00930977" w:rsidP="00E90DC2"/>
          <w:p w14:paraId="3DEE77C6" w14:textId="77777777" w:rsidR="00930977" w:rsidRPr="00E90DC2" w:rsidRDefault="00930977" w:rsidP="00E90DC2"/>
          <w:p w14:paraId="0075BC34" w14:textId="77777777" w:rsidR="00930977" w:rsidRPr="00E90DC2" w:rsidRDefault="00930977" w:rsidP="00E90DC2"/>
          <w:p w14:paraId="3FC1BF21" w14:textId="77777777" w:rsidR="00930977" w:rsidRPr="00E90DC2" w:rsidRDefault="00930977" w:rsidP="00E90DC2"/>
          <w:p w14:paraId="06CE1D39" w14:textId="77777777" w:rsidR="00930977" w:rsidRPr="00E90DC2" w:rsidRDefault="00930977" w:rsidP="00E90DC2"/>
          <w:p w14:paraId="2C43D68B" w14:textId="77777777" w:rsidR="00930977" w:rsidRPr="00E90DC2" w:rsidRDefault="00930977" w:rsidP="00E90DC2"/>
          <w:p w14:paraId="418A6D3C" w14:textId="77777777" w:rsidR="00930977" w:rsidRPr="00E90DC2" w:rsidRDefault="00930977" w:rsidP="00E90DC2"/>
          <w:p w14:paraId="768D6F5C" w14:textId="77777777" w:rsidR="00930977" w:rsidRPr="00E90DC2" w:rsidRDefault="00930977" w:rsidP="00E90DC2"/>
          <w:p w14:paraId="2AF61116" w14:textId="77777777" w:rsidR="00930977" w:rsidRPr="00E90DC2" w:rsidRDefault="00930977" w:rsidP="00E90DC2"/>
          <w:p w14:paraId="3CFA4BCA" w14:textId="77777777" w:rsidR="00930977" w:rsidRPr="00E90DC2" w:rsidRDefault="00930977" w:rsidP="00E90DC2"/>
          <w:p w14:paraId="693A5335" w14:textId="77777777" w:rsidR="00930977" w:rsidRPr="00E90DC2" w:rsidRDefault="00930977" w:rsidP="00E90DC2"/>
          <w:p w14:paraId="7D96F563" w14:textId="77777777" w:rsidR="00930977" w:rsidRPr="00E90DC2" w:rsidRDefault="00930977" w:rsidP="00E90DC2"/>
          <w:p w14:paraId="5D5343DF" w14:textId="77777777" w:rsidR="0092386E" w:rsidRDefault="0092386E" w:rsidP="00E90DC2"/>
          <w:p w14:paraId="15A88356" w14:textId="77777777" w:rsidR="0092386E" w:rsidRDefault="0092386E" w:rsidP="00E90DC2"/>
          <w:p w14:paraId="2350CEB4" w14:textId="5E5FA0CB" w:rsidR="00930977" w:rsidRPr="00E90DC2" w:rsidRDefault="00930977" w:rsidP="00E90DC2">
            <w:r w:rsidRPr="00E90DC2">
              <w:t>3</w:t>
            </w:r>
          </w:p>
          <w:p w14:paraId="6E168D0E" w14:textId="77777777" w:rsidR="00930977" w:rsidRPr="00E90DC2" w:rsidRDefault="00930977" w:rsidP="00E90DC2"/>
        </w:tc>
        <w:tc>
          <w:tcPr>
            <w:tcW w:w="4394" w:type="dxa"/>
          </w:tcPr>
          <w:p w14:paraId="722E3EBB" w14:textId="77777777" w:rsidR="00930977" w:rsidRPr="00E90DC2" w:rsidRDefault="00930977" w:rsidP="00E90DC2"/>
          <w:p w14:paraId="73297475" w14:textId="77777777" w:rsidR="00930977" w:rsidRPr="00E90DC2" w:rsidRDefault="00930977" w:rsidP="00E90DC2"/>
          <w:p w14:paraId="18659555" w14:textId="77777777" w:rsidR="00930977" w:rsidRPr="00E90DC2" w:rsidRDefault="00930977" w:rsidP="00E90DC2"/>
          <w:p w14:paraId="0C1E95DB" w14:textId="77777777" w:rsidR="00930977" w:rsidRPr="00E90DC2" w:rsidRDefault="00930977" w:rsidP="00E90DC2"/>
          <w:p w14:paraId="0C6799F9" w14:textId="77777777" w:rsidR="00930977" w:rsidRPr="00E90DC2" w:rsidRDefault="00930977" w:rsidP="00E90DC2"/>
          <w:p w14:paraId="7D8AADC2" w14:textId="77777777" w:rsidR="00930977" w:rsidRPr="00E90DC2" w:rsidRDefault="00930977" w:rsidP="00E90DC2"/>
          <w:p w14:paraId="4C38F68B" w14:textId="77777777" w:rsidR="00930977" w:rsidRPr="00E90DC2" w:rsidRDefault="00930977" w:rsidP="00E90DC2"/>
          <w:p w14:paraId="40571121" w14:textId="77777777" w:rsidR="00930977" w:rsidRPr="00E90DC2" w:rsidRDefault="00930977" w:rsidP="00E90DC2"/>
          <w:p w14:paraId="673908A3" w14:textId="77777777" w:rsidR="00930977" w:rsidRPr="00E90DC2" w:rsidRDefault="00930977" w:rsidP="00E90DC2"/>
          <w:p w14:paraId="120D3367" w14:textId="77777777" w:rsidR="00930977" w:rsidRPr="00E90DC2" w:rsidRDefault="00930977" w:rsidP="00E90DC2"/>
          <w:p w14:paraId="1F79B642" w14:textId="77777777" w:rsidR="00930977" w:rsidRPr="00E90DC2" w:rsidRDefault="00930977" w:rsidP="00E90DC2"/>
          <w:p w14:paraId="1B51D287" w14:textId="77777777" w:rsidR="00930977" w:rsidRPr="00E90DC2" w:rsidRDefault="00930977" w:rsidP="00E90DC2"/>
          <w:p w14:paraId="2D0642A3" w14:textId="77777777" w:rsidR="00930977" w:rsidRPr="00E90DC2" w:rsidRDefault="00930977" w:rsidP="00E90DC2"/>
          <w:p w14:paraId="64372687" w14:textId="77777777" w:rsidR="00930977" w:rsidRPr="00E90DC2" w:rsidRDefault="00930977" w:rsidP="00E90DC2"/>
          <w:p w14:paraId="32CDF58A" w14:textId="77777777" w:rsidR="00930977" w:rsidRPr="00E90DC2" w:rsidRDefault="00930977" w:rsidP="00E90DC2"/>
          <w:p w14:paraId="22518993" w14:textId="77777777" w:rsidR="00930977" w:rsidRPr="00E90DC2" w:rsidRDefault="00930977" w:rsidP="00E90DC2"/>
          <w:p w14:paraId="1BC658D4" w14:textId="77777777" w:rsidR="008653DC" w:rsidRDefault="008653DC" w:rsidP="00E90DC2"/>
          <w:p w14:paraId="7DA17736" w14:textId="77777777" w:rsidR="008653DC" w:rsidRDefault="008653DC" w:rsidP="00E90DC2"/>
          <w:p w14:paraId="2D178919" w14:textId="234A8A1E" w:rsidR="00930977" w:rsidRPr="00E90DC2" w:rsidRDefault="00930977" w:rsidP="00E90DC2">
            <w:r w:rsidRPr="00E90DC2">
              <w:t>One young person talked about the need for someone else to make decisions only in an emergency (#YP8 – in relation to diabetes). Another young person said:</w:t>
            </w:r>
          </w:p>
          <w:p w14:paraId="7AF33C80" w14:textId="77777777" w:rsidR="00930977" w:rsidRPr="00E90DC2" w:rsidRDefault="00930977" w:rsidP="00E90DC2">
            <w:pPr>
              <w:rPr>
                <w:iCs/>
              </w:rPr>
            </w:pPr>
            <w:r w:rsidRPr="00E90DC2">
              <w:rPr>
                <w:i/>
              </w:rPr>
              <w:t xml:space="preserve">My parents, they made decisions about medical and that sort of stuff, but everything </w:t>
            </w:r>
            <w:r w:rsidRPr="00E90DC2">
              <w:rPr>
                <w:i/>
              </w:rPr>
              <w:lastRenderedPageBreak/>
              <w:t xml:space="preserve">else… they generally leave up to me… the usual ‘parents’ sort of stuff, they usually make those decisions for me, which I’m fine with. </w:t>
            </w:r>
          </w:p>
          <w:p w14:paraId="6064F215" w14:textId="77777777" w:rsidR="00930977" w:rsidRPr="00E90DC2" w:rsidRDefault="00930977" w:rsidP="00E90DC2"/>
          <w:p w14:paraId="1BA80BF0" w14:textId="77777777" w:rsidR="00930977" w:rsidRPr="00E90DC2" w:rsidRDefault="00930977" w:rsidP="00E90DC2"/>
          <w:p w14:paraId="18DEB6C7" w14:textId="77777777" w:rsidR="00930977" w:rsidRPr="00E90DC2" w:rsidRDefault="00930977" w:rsidP="00E90DC2"/>
          <w:p w14:paraId="3316B9CC" w14:textId="77777777" w:rsidR="00930977" w:rsidRPr="00E90DC2" w:rsidRDefault="00930977" w:rsidP="00E90DC2"/>
          <w:p w14:paraId="09E2A838" w14:textId="77777777" w:rsidR="00930977" w:rsidRPr="00E90DC2" w:rsidRDefault="00930977" w:rsidP="00E90DC2"/>
        </w:tc>
        <w:tc>
          <w:tcPr>
            <w:tcW w:w="1701" w:type="dxa"/>
          </w:tcPr>
          <w:p w14:paraId="575C2F67" w14:textId="77777777" w:rsidR="00930977" w:rsidRPr="00E90DC2" w:rsidRDefault="00930977" w:rsidP="00E90DC2">
            <w:r w:rsidRPr="00E90DC2">
              <w:lastRenderedPageBreak/>
              <w:t>pp.4, 9</w:t>
            </w:r>
          </w:p>
          <w:p w14:paraId="06937211" w14:textId="77777777" w:rsidR="00930977" w:rsidRPr="00E90DC2" w:rsidRDefault="00930977" w:rsidP="00E90DC2"/>
          <w:p w14:paraId="618B9C03" w14:textId="77777777" w:rsidR="00930977" w:rsidRPr="00E90DC2" w:rsidRDefault="00930977" w:rsidP="00E90DC2"/>
          <w:p w14:paraId="43ED14E1" w14:textId="77777777" w:rsidR="00930977" w:rsidRPr="00E90DC2" w:rsidRDefault="00930977" w:rsidP="00E90DC2"/>
          <w:p w14:paraId="7946C3E4" w14:textId="77777777" w:rsidR="00930977" w:rsidRPr="00E90DC2" w:rsidRDefault="00930977" w:rsidP="00E90DC2"/>
          <w:p w14:paraId="2AD5FEF6" w14:textId="77777777" w:rsidR="00930977" w:rsidRPr="00E90DC2" w:rsidRDefault="00930977" w:rsidP="00E90DC2"/>
          <w:p w14:paraId="6EA2E407" w14:textId="77777777" w:rsidR="00930977" w:rsidRPr="00E90DC2" w:rsidRDefault="00930977" w:rsidP="00E90DC2"/>
          <w:p w14:paraId="7A12D760" w14:textId="77777777" w:rsidR="00930977" w:rsidRPr="00E90DC2" w:rsidRDefault="00930977" w:rsidP="00E90DC2"/>
          <w:p w14:paraId="3FDD8160" w14:textId="77777777" w:rsidR="00930977" w:rsidRPr="00E90DC2" w:rsidRDefault="00930977" w:rsidP="00E90DC2"/>
          <w:p w14:paraId="2FB91153" w14:textId="77777777" w:rsidR="00930977" w:rsidRPr="00E90DC2" w:rsidRDefault="00930977" w:rsidP="00E90DC2"/>
          <w:p w14:paraId="69DA61A2" w14:textId="77777777" w:rsidR="00930977" w:rsidRPr="00E90DC2" w:rsidRDefault="00930977" w:rsidP="00E90DC2"/>
          <w:p w14:paraId="79E084CD" w14:textId="77777777" w:rsidR="00930977" w:rsidRPr="00E90DC2" w:rsidRDefault="00930977" w:rsidP="00E90DC2"/>
          <w:p w14:paraId="35539D77" w14:textId="77777777" w:rsidR="00930977" w:rsidRPr="00E90DC2" w:rsidRDefault="00930977" w:rsidP="00E90DC2"/>
          <w:p w14:paraId="63CCB4C5" w14:textId="77777777" w:rsidR="00930977" w:rsidRPr="00E90DC2" w:rsidRDefault="00930977" w:rsidP="00E90DC2"/>
          <w:p w14:paraId="3F3FE1E7" w14:textId="77777777" w:rsidR="00930977" w:rsidRPr="00E90DC2" w:rsidRDefault="00930977" w:rsidP="00E90DC2"/>
          <w:p w14:paraId="10CA29D2" w14:textId="77777777" w:rsidR="00930977" w:rsidRPr="00E90DC2" w:rsidRDefault="00930977" w:rsidP="00E90DC2"/>
          <w:p w14:paraId="3651037C" w14:textId="77777777" w:rsidR="008653DC" w:rsidRDefault="008653DC" w:rsidP="00E90DC2"/>
          <w:p w14:paraId="4E6A6D8C" w14:textId="77777777" w:rsidR="008653DC" w:rsidRDefault="008653DC" w:rsidP="00E90DC2"/>
          <w:p w14:paraId="36B31B08" w14:textId="5CFF6FA1" w:rsidR="00930977" w:rsidRPr="00E90DC2" w:rsidRDefault="00930977" w:rsidP="00E90DC2">
            <w:r w:rsidRPr="00E90DC2">
              <w:t>Pp 26, 27</w:t>
            </w:r>
          </w:p>
          <w:p w14:paraId="1020CF29" w14:textId="77777777" w:rsidR="00930977" w:rsidRPr="00E90DC2" w:rsidRDefault="00930977" w:rsidP="00E90DC2"/>
        </w:tc>
      </w:tr>
      <w:tr w:rsidR="00930977" w:rsidRPr="00E90DC2" w14:paraId="4FD9D911" w14:textId="77777777" w:rsidTr="00666878">
        <w:tc>
          <w:tcPr>
            <w:tcW w:w="3397" w:type="dxa"/>
          </w:tcPr>
          <w:p w14:paraId="12289B36" w14:textId="77777777" w:rsidR="00930977" w:rsidRPr="00E90DC2" w:rsidRDefault="00930977" w:rsidP="00E90DC2"/>
        </w:tc>
        <w:tc>
          <w:tcPr>
            <w:tcW w:w="3261" w:type="dxa"/>
          </w:tcPr>
          <w:p w14:paraId="696438A3" w14:textId="77777777" w:rsidR="00930977" w:rsidRPr="00E90DC2" w:rsidRDefault="00930977" w:rsidP="00E90DC2">
            <w:pPr>
              <w:rPr>
                <w:b/>
                <w:bCs/>
              </w:rPr>
            </w:pPr>
            <w:r w:rsidRPr="00E90DC2">
              <w:rPr>
                <w:b/>
                <w:bCs/>
              </w:rPr>
              <w:t xml:space="preserve">Dignity of risk -  </w:t>
            </w:r>
          </w:p>
          <w:p w14:paraId="3E89E04F" w14:textId="77777777" w:rsidR="00930977" w:rsidRDefault="00930977" w:rsidP="00E90DC2">
            <w:r w:rsidRPr="00E90DC2">
              <w:t>Young people with disability are particularly concerned by the failure of organisations to gain their perspective about what safety means to them.  Safety, for young people, is about dignity of risk – having the right to make choices and learning from the decisions they make.</w:t>
            </w:r>
          </w:p>
          <w:p w14:paraId="44DDC08C" w14:textId="4A6F041A" w:rsidR="00930977" w:rsidRPr="00E90DC2" w:rsidRDefault="00930977" w:rsidP="00E90DC2">
            <w:r w:rsidRPr="00A95B32">
              <w:t xml:space="preserve">Several participants from organisations discussed the difficulty they faced in balancing processes and practices with child safety, with even ostensibly beneficial child-safe policies creating barriers to information sharing, flexible service delivery, and accessibility.  </w:t>
            </w:r>
          </w:p>
        </w:tc>
        <w:tc>
          <w:tcPr>
            <w:tcW w:w="1417" w:type="dxa"/>
          </w:tcPr>
          <w:p w14:paraId="0A3093F4" w14:textId="77777777" w:rsidR="00930977" w:rsidRPr="00E90DC2" w:rsidRDefault="00930977" w:rsidP="00E90DC2">
            <w:r w:rsidRPr="00E90DC2">
              <w:t>2</w:t>
            </w:r>
          </w:p>
        </w:tc>
        <w:tc>
          <w:tcPr>
            <w:tcW w:w="4394" w:type="dxa"/>
          </w:tcPr>
          <w:p w14:paraId="1C6C7556" w14:textId="5C9DAF62" w:rsidR="00930977" w:rsidRPr="00A95B32" w:rsidRDefault="00930977" w:rsidP="00A95B32">
            <w:r w:rsidRPr="00A95B32">
              <w:t>Another balancing act raised across consultation types was around dignity of risk:</w:t>
            </w:r>
          </w:p>
          <w:p w14:paraId="07DE29DB" w14:textId="19B0DA60" w:rsidR="00930977" w:rsidRPr="00A95B32" w:rsidRDefault="00930977" w:rsidP="00A95B32">
            <w:pPr>
              <w:rPr>
                <w:highlight w:val="yellow"/>
              </w:rPr>
            </w:pPr>
            <w:r w:rsidRPr="00A95B32">
              <w:rPr>
                <w:i/>
                <w:iCs/>
              </w:rPr>
              <w:t>‘We actually have to allow young people and children to experience risk, so we have to find a balance here between capacity building and keeping young people safe.’</w:t>
            </w:r>
            <w:r w:rsidRPr="00A95B32">
              <w:t xml:space="preserve"> – </w:t>
            </w:r>
            <w:r>
              <w:t>(Participant from Organisational group)</w:t>
            </w:r>
            <w:r w:rsidRPr="00A95B32">
              <w:t xml:space="preserve">. </w:t>
            </w:r>
          </w:p>
          <w:p w14:paraId="04A8A9FF" w14:textId="70D0FC50" w:rsidR="00930977" w:rsidRPr="00E90DC2" w:rsidRDefault="00930977" w:rsidP="00E90DC2"/>
        </w:tc>
        <w:tc>
          <w:tcPr>
            <w:tcW w:w="1701" w:type="dxa"/>
          </w:tcPr>
          <w:p w14:paraId="558E5182" w14:textId="77777777" w:rsidR="00930977" w:rsidRPr="00E90DC2" w:rsidRDefault="00930977" w:rsidP="00E90DC2">
            <w:r w:rsidRPr="00E90DC2">
              <w:t>p. 9</w:t>
            </w:r>
          </w:p>
        </w:tc>
      </w:tr>
      <w:tr w:rsidR="00930977" w:rsidRPr="00E90DC2" w14:paraId="13C5BF90" w14:textId="77777777" w:rsidTr="00666878">
        <w:tc>
          <w:tcPr>
            <w:tcW w:w="3397" w:type="dxa"/>
          </w:tcPr>
          <w:p w14:paraId="73695024" w14:textId="77777777" w:rsidR="00930977" w:rsidRPr="00E90DC2" w:rsidRDefault="00930977" w:rsidP="00E90DC2"/>
        </w:tc>
        <w:tc>
          <w:tcPr>
            <w:tcW w:w="3261" w:type="dxa"/>
          </w:tcPr>
          <w:p w14:paraId="39927C2F" w14:textId="77777777" w:rsidR="00930977" w:rsidRPr="00E90DC2" w:rsidRDefault="00930977" w:rsidP="00E90DC2">
            <w:r w:rsidRPr="00E90DC2">
              <w:t>Improve enforcement of accessibility standards as well as the dissemination of accessibility-</w:t>
            </w:r>
            <w:r w:rsidRPr="00E90DC2">
              <w:lastRenderedPageBreak/>
              <w:t xml:space="preserve">related information. Central to this is the implementation of </w:t>
            </w:r>
            <w:r w:rsidRPr="00E90DC2">
              <w:rPr>
                <w:b/>
                <w:bCs/>
              </w:rPr>
              <w:t>effective complaints and feedback mechanisms</w:t>
            </w:r>
            <w:r w:rsidRPr="00E90DC2">
              <w:t>.</w:t>
            </w:r>
          </w:p>
          <w:p w14:paraId="43B2DBDC" w14:textId="77777777" w:rsidR="00930977" w:rsidRPr="00E90DC2" w:rsidRDefault="00930977" w:rsidP="00E90DC2"/>
          <w:p w14:paraId="3FA95705" w14:textId="77777777" w:rsidR="00930977" w:rsidRPr="00E90DC2" w:rsidRDefault="00930977" w:rsidP="00E90DC2"/>
          <w:p w14:paraId="5E7C3B53" w14:textId="77777777" w:rsidR="00930977" w:rsidRPr="00E90DC2" w:rsidRDefault="00930977" w:rsidP="00E90DC2"/>
          <w:p w14:paraId="5EFCB731" w14:textId="77777777" w:rsidR="00930977" w:rsidRPr="00E90DC2" w:rsidRDefault="00930977" w:rsidP="00E90DC2"/>
          <w:p w14:paraId="200CBD0D" w14:textId="77777777" w:rsidR="00930977" w:rsidRPr="00E90DC2" w:rsidRDefault="00930977" w:rsidP="00E90DC2"/>
          <w:p w14:paraId="23BD64EE" w14:textId="77777777" w:rsidR="00930977" w:rsidRPr="00E90DC2" w:rsidRDefault="00930977" w:rsidP="00E90DC2"/>
          <w:p w14:paraId="33D5C3B2" w14:textId="77777777" w:rsidR="00930977" w:rsidRPr="00E90DC2" w:rsidRDefault="00930977" w:rsidP="00E90DC2"/>
          <w:p w14:paraId="2AC15736" w14:textId="77777777" w:rsidR="00930977" w:rsidRPr="00E90DC2" w:rsidRDefault="00930977" w:rsidP="00E90DC2"/>
          <w:p w14:paraId="563B7A66" w14:textId="77777777" w:rsidR="00930977" w:rsidRPr="00E90DC2" w:rsidRDefault="00930977" w:rsidP="00E90DC2"/>
          <w:p w14:paraId="42D37558" w14:textId="77777777" w:rsidR="00930977" w:rsidRPr="00E90DC2" w:rsidRDefault="00930977" w:rsidP="00E90DC2"/>
          <w:p w14:paraId="45498616" w14:textId="77777777" w:rsidR="00930977" w:rsidRPr="00E90DC2" w:rsidRDefault="00930977" w:rsidP="00E90DC2"/>
          <w:p w14:paraId="30A9E105" w14:textId="77777777" w:rsidR="00930977" w:rsidRPr="00E90DC2" w:rsidRDefault="00930977" w:rsidP="00E90DC2"/>
          <w:p w14:paraId="002A4D4B" w14:textId="77777777" w:rsidR="00930977" w:rsidRPr="00E90DC2" w:rsidRDefault="00930977" w:rsidP="00E90DC2"/>
          <w:p w14:paraId="71E3ECDE" w14:textId="77777777" w:rsidR="00930977" w:rsidRPr="00E90DC2" w:rsidRDefault="00930977" w:rsidP="00E90DC2"/>
          <w:p w14:paraId="05424E3E" w14:textId="77777777" w:rsidR="00930977" w:rsidRPr="00E90DC2" w:rsidRDefault="00930977" w:rsidP="00E90DC2"/>
          <w:p w14:paraId="5BC05259" w14:textId="77777777" w:rsidR="00930977" w:rsidRPr="00E90DC2" w:rsidRDefault="00930977" w:rsidP="00E90DC2"/>
          <w:p w14:paraId="7C241883" w14:textId="77777777" w:rsidR="00930977" w:rsidRPr="00E90DC2" w:rsidRDefault="00930977" w:rsidP="00E90DC2"/>
        </w:tc>
        <w:tc>
          <w:tcPr>
            <w:tcW w:w="1417" w:type="dxa"/>
          </w:tcPr>
          <w:p w14:paraId="0FCD6748" w14:textId="77777777" w:rsidR="00930977" w:rsidRPr="00E90DC2" w:rsidRDefault="00930977" w:rsidP="00E90DC2">
            <w:r w:rsidRPr="00E90DC2">
              <w:lastRenderedPageBreak/>
              <w:t>2</w:t>
            </w:r>
          </w:p>
        </w:tc>
        <w:tc>
          <w:tcPr>
            <w:tcW w:w="4394" w:type="dxa"/>
          </w:tcPr>
          <w:p w14:paraId="55FFFB37" w14:textId="77777777" w:rsidR="00930977" w:rsidRPr="00E90DC2" w:rsidRDefault="00930977" w:rsidP="00E90DC2">
            <w:r w:rsidRPr="00E90DC2">
              <w:t xml:space="preserve">Participants highlighted the burden on young people with disability to ensure that their voices are </w:t>
            </w:r>
            <w:proofErr w:type="gramStart"/>
            <w:r w:rsidRPr="00E90DC2">
              <w:t>heard</w:t>
            </w:r>
            <w:proofErr w:type="gramEnd"/>
            <w:r w:rsidRPr="00E90DC2">
              <w:t xml:space="preserve"> and their needs are met, </w:t>
            </w:r>
            <w:r w:rsidRPr="00E90DC2">
              <w:lastRenderedPageBreak/>
              <w:t>exacerbating burnout and a likelihood of disengaging from their community or services. This was particularly evident when making complaints. This is due to a lack of accountability on the part of services and action. When speaking about their experience with taxi services, one participant noted:</w:t>
            </w:r>
          </w:p>
          <w:p w14:paraId="58554073" w14:textId="77777777" w:rsidR="00930977" w:rsidRPr="00E90DC2" w:rsidRDefault="00930977" w:rsidP="00E90DC2">
            <w:r w:rsidRPr="00E90DC2">
              <w:rPr>
                <w:i/>
                <w:iCs/>
              </w:rPr>
              <w:t xml:space="preserve">“I've tried to complain a few </w:t>
            </w:r>
            <w:proofErr w:type="gramStart"/>
            <w:r w:rsidRPr="00E90DC2">
              <w:rPr>
                <w:i/>
                <w:iCs/>
              </w:rPr>
              <w:t>times</w:t>
            </w:r>
            <w:proofErr w:type="gramEnd"/>
            <w:r w:rsidRPr="00E90DC2">
              <w:rPr>
                <w:i/>
                <w:iCs/>
              </w:rPr>
              <w:t xml:space="preserve"> but I feel like it's a waste of effort and time because there's usually no action taken and nothing gets resolved and it's just, yeah, that's my experience with taxis and stuff.  I did make a formal complaint, but even calling up saying "hey, this has occurred", and stuff, "Yep, yep, we'll get on to it" and no action is taken and if you know nothing is going to be done, I don't see the point of like complaining.  Complain to the driver or person, complain to the organisation, I don't think they'll care, it's what is the point</w:t>
            </w:r>
            <w:proofErr w:type="gramStart"/>
            <w:r w:rsidRPr="00E90DC2">
              <w:rPr>
                <w:i/>
                <w:iCs/>
              </w:rPr>
              <w:t>? ”</w:t>
            </w:r>
            <w:proofErr w:type="gramEnd"/>
            <w:r w:rsidRPr="00E90DC2">
              <w:t xml:space="preserve"> </w:t>
            </w:r>
          </w:p>
          <w:p w14:paraId="599662F4" w14:textId="77777777" w:rsidR="00930977" w:rsidRPr="00E90DC2" w:rsidRDefault="00930977" w:rsidP="00E90DC2"/>
        </w:tc>
        <w:tc>
          <w:tcPr>
            <w:tcW w:w="1701" w:type="dxa"/>
          </w:tcPr>
          <w:p w14:paraId="795F090C" w14:textId="77777777" w:rsidR="00930977" w:rsidRPr="00E90DC2" w:rsidRDefault="00930977" w:rsidP="00E90DC2">
            <w:r w:rsidRPr="00E90DC2">
              <w:lastRenderedPageBreak/>
              <w:t>pp15-16</w:t>
            </w:r>
          </w:p>
          <w:p w14:paraId="4DEB0C77" w14:textId="77777777" w:rsidR="00930977" w:rsidRPr="00E90DC2" w:rsidRDefault="00930977" w:rsidP="00E90DC2"/>
          <w:p w14:paraId="4D4A1BDA" w14:textId="77777777" w:rsidR="00930977" w:rsidRPr="00E90DC2" w:rsidRDefault="00930977" w:rsidP="00E90DC2"/>
          <w:p w14:paraId="2F1B663E" w14:textId="77777777" w:rsidR="00930977" w:rsidRPr="00E90DC2" w:rsidRDefault="00930977" w:rsidP="00E90DC2"/>
          <w:p w14:paraId="492E2F84" w14:textId="77777777" w:rsidR="00930977" w:rsidRPr="00E90DC2" w:rsidRDefault="00930977" w:rsidP="00E90DC2"/>
          <w:p w14:paraId="0BE1B060" w14:textId="77777777" w:rsidR="00930977" w:rsidRPr="00E90DC2" w:rsidRDefault="00930977" w:rsidP="00E90DC2"/>
          <w:p w14:paraId="6C38090C" w14:textId="77777777" w:rsidR="00930977" w:rsidRPr="00E90DC2" w:rsidRDefault="00930977" w:rsidP="00E90DC2"/>
          <w:p w14:paraId="3CBFF7B6" w14:textId="77777777" w:rsidR="00930977" w:rsidRPr="00E90DC2" w:rsidRDefault="00930977" w:rsidP="00E90DC2"/>
          <w:p w14:paraId="2B8EDFC1" w14:textId="77777777" w:rsidR="00930977" w:rsidRPr="00E90DC2" w:rsidRDefault="00930977" w:rsidP="00E90DC2"/>
          <w:p w14:paraId="232AB267" w14:textId="77777777" w:rsidR="00930977" w:rsidRPr="00E90DC2" w:rsidRDefault="00930977" w:rsidP="00E90DC2"/>
          <w:p w14:paraId="380AD13E" w14:textId="77777777" w:rsidR="00930977" w:rsidRPr="00E90DC2" w:rsidRDefault="00930977" w:rsidP="00E90DC2"/>
          <w:p w14:paraId="1209F75E" w14:textId="77777777" w:rsidR="00930977" w:rsidRPr="00E90DC2" w:rsidRDefault="00930977" w:rsidP="00E90DC2"/>
          <w:p w14:paraId="23637B56" w14:textId="77777777" w:rsidR="00930977" w:rsidRPr="00E90DC2" w:rsidRDefault="00930977" w:rsidP="00E90DC2"/>
          <w:p w14:paraId="3A7F4FD5" w14:textId="77777777" w:rsidR="00930977" w:rsidRPr="00E90DC2" w:rsidRDefault="00930977" w:rsidP="00E90DC2"/>
          <w:p w14:paraId="4126840F" w14:textId="77777777" w:rsidR="00930977" w:rsidRPr="00E90DC2" w:rsidRDefault="00930977" w:rsidP="00E90DC2"/>
          <w:p w14:paraId="7DA4F994" w14:textId="77777777" w:rsidR="00930977" w:rsidRPr="00E90DC2" w:rsidRDefault="00930977" w:rsidP="00E90DC2"/>
          <w:p w14:paraId="3D07A391" w14:textId="77777777" w:rsidR="00930977" w:rsidRPr="00E90DC2" w:rsidRDefault="00930977" w:rsidP="00E90DC2"/>
          <w:p w14:paraId="691AD4CE" w14:textId="77777777" w:rsidR="00930977" w:rsidRPr="00E90DC2" w:rsidRDefault="00930977" w:rsidP="00E90DC2"/>
          <w:p w14:paraId="4562C897" w14:textId="77777777" w:rsidR="00930977" w:rsidRPr="00E90DC2" w:rsidRDefault="00930977" w:rsidP="00E90DC2"/>
          <w:p w14:paraId="79B615F4" w14:textId="77777777" w:rsidR="00930977" w:rsidRPr="00E90DC2" w:rsidRDefault="00930977" w:rsidP="00E90DC2"/>
          <w:p w14:paraId="59752E52" w14:textId="77777777" w:rsidR="00930977" w:rsidRPr="00E90DC2" w:rsidRDefault="00930977" w:rsidP="00E90DC2"/>
          <w:p w14:paraId="7F7EE337" w14:textId="77777777" w:rsidR="00930977" w:rsidRPr="00E90DC2" w:rsidRDefault="00930977" w:rsidP="00E90DC2"/>
          <w:p w14:paraId="7F8E1D70" w14:textId="77777777" w:rsidR="00930977" w:rsidRPr="00E90DC2" w:rsidRDefault="00930977" w:rsidP="00E90DC2"/>
          <w:p w14:paraId="0A0C4528" w14:textId="77777777" w:rsidR="00930977" w:rsidRPr="00E90DC2" w:rsidRDefault="00930977" w:rsidP="00E90DC2"/>
        </w:tc>
      </w:tr>
    </w:tbl>
    <w:p w14:paraId="1FBEC269" w14:textId="0201E41F" w:rsidR="00F96E83" w:rsidRDefault="00F96E83" w:rsidP="000A1797">
      <w:pPr>
        <w:pStyle w:val="Heading1"/>
        <w:rPr>
          <w:color w:val="385623" w:themeColor="accent6" w:themeShade="80"/>
        </w:rPr>
      </w:pPr>
    </w:p>
    <w:sectPr w:rsidR="00F96E83" w:rsidSect="006B1739">
      <w:pgSz w:w="16840" w:h="11900"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D878" w14:textId="77777777" w:rsidR="00120C09" w:rsidRDefault="00120C09" w:rsidP="00F000FF">
      <w:r>
        <w:separator/>
      </w:r>
    </w:p>
  </w:endnote>
  <w:endnote w:type="continuationSeparator" w:id="0">
    <w:p w14:paraId="1C922571" w14:textId="77777777" w:rsidR="00120C09" w:rsidRDefault="00120C09" w:rsidP="00F000FF">
      <w:r>
        <w:continuationSeparator/>
      </w:r>
    </w:p>
  </w:endnote>
  <w:endnote w:type="continuationNotice" w:id="1">
    <w:p w14:paraId="4BAD4072" w14:textId="77777777" w:rsidR="00120C09" w:rsidRDefault="00120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2521"/>
      <w:docPartObj>
        <w:docPartGallery w:val="Page Numbers (Bottom of Page)"/>
        <w:docPartUnique/>
      </w:docPartObj>
    </w:sdtPr>
    <w:sdtEndPr>
      <w:rPr>
        <w:noProof/>
      </w:rPr>
    </w:sdtEndPr>
    <w:sdtContent>
      <w:p w14:paraId="5D233C3B" w14:textId="7B43A3AD" w:rsidR="00CD2352" w:rsidRDefault="00CD23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4FB3D1" w14:textId="77777777" w:rsidR="00CD2352" w:rsidRDefault="00CD2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467E4" w14:textId="77777777" w:rsidR="00120C09" w:rsidRDefault="00120C09" w:rsidP="00F000FF">
      <w:r>
        <w:separator/>
      </w:r>
    </w:p>
  </w:footnote>
  <w:footnote w:type="continuationSeparator" w:id="0">
    <w:p w14:paraId="12B3AD13" w14:textId="77777777" w:rsidR="00120C09" w:rsidRDefault="00120C09" w:rsidP="00F000FF">
      <w:r>
        <w:continuationSeparator/>
      </w:r>
    </w:p>
  </w:footnote>
  <w:footnote w:type="continuationNotice" w:id="1">
    <w:p w14:paraId="29A81124" w14:textId="77777777" w:rsidR="00120C09" w:rsidRDefault="00120C09"/>
  </w:footnote>
  <w:footnote w:id="2">
    <w:p w14:paraId="7F8E9A5D" w14:textId="77777777" w:rsidR="00B30C8E" w:rsidRDefault="00B30C8E" w:rsidP="00B30C8E">
      <w:pPr>
        <w:pStyle w:val="FootnoteText"/>
        <w:rPr>
          <w:rFonts w:cs="Arial"/>
          <w:sz w:val="18"/>
          <w:szCs w:val="18"/>
        </w:rPr>
      </w:pPr>
      <w:r>
        <w:rPr>
          <w:rStyle w:val="FootnoteReference"/>
          <w:rFonts w:cs="Arial"/>
          <w:sz w:val="18"/>
          <w:szCs w:val="18"/>
        </w:rPr>
        <w:footnoteRef/>
      </w:r>
      <w:r>
        <w:rPr>
          <w:rFonts w:cs="Arial"/>
          <w:sz w:val="18"/>
          <w:szCs w:val="18"/>
        </w:rPr>
        <w:t xml:space="preserve"> Centre of Research Excellence in Disability and Health. (2020). Violence against young people with disability in Australia. Available at </w:t>
      </w:r>
      <w:hyperlink r:id="rId1" w:history="1">
        <w:r>
          <w:rPr>
            <w:rStyle w:val="Hyperlink"/>
            <w:rFonts w:cs="Arial"/>
            <w:sz w:val="18"/>
            <w:szCs w:val="18"/>
          </w:rPr>
          <w:t>https://objects.storage.unimelb.edu.au/2016UOM009:figshare/24753587/YoungPplViolenceDisabilityFactSheet.pdf</w:t>
        </w:r>
      </w:hyperlink>
    </w:p>
  </w:footnote>
  <w:footnote w:id="3">
    <w:p w14:paraId="1CC4DD58" w14:textId="77777777" w:rsidR="00B30C8E" w:rsidRDefault="00B30C8E" w:rsidP="00B30C8E">
      <w:pPr>
        <w:pStyle w:val="FootnoteText"/>
        <w:rPr>
          <w:rFonts w:cs="Arial"/>
          <w:color w:val="0563C1" w:themeColor="hyperlink"/>
          <w:sz w:val="18"/>
          <w:szCs w:val="18"/>
          <w:u w:val="single"/>
        </w:rPr>
      </w:pPr>
      <w:r>
        <w:rPr>
          <w:rStyle w:val="FootnoteReference"/>
          <w:rFonts w:cs="Arial"/>
          <w:sz w:val="18"/>
          <w:szCs w:val="18"/>
        </w:rPr>
        <w:footnoteRef/>
      </w:r>
      <w:r>
        <w:rPr>
          <w:rFonts w:cs="Arial"/>
          <w:sz w:val="18"/>
          <w:szCs w:val="18"/>
        </w:rPr>
        <w:t xml:space="preserve"> Wayland, S &amp; Hindmarsh, G. (2017). Understanding safeguarding practices for children with disability when engaging with organisations. Available at </w:t>
      </w:r>
      <w:hyperlink r:id="rId2" w:history="1">
        <w:r>
          <w:rPr>
            <w:rStyle w:val="Hyperlink"/>
            <w:rFonts w:cs="Arial"/>
            <w:sz w:val="18"/>
            <w:szCs w:val="18"/>
          </w:rPr>
          <w:t>Understanding safeguarding practices for children with disability when engaging with organisations | Child Family Community Australia (aifs.gov.au)</w:t>
        </w:r>
      </w:hyperlink>
    </w:p>
  </w:footnote>
  <w:footnote w:id="4">
    <w:p w14:paraId="476C40AD" w14:textId="77777777" w:rsidR="00B30C8E" w:rsidRDefault="00B30C8E" w:rsidP="00B30C8E">
      <w:pPr>
        <w:pStyle w:val="FootnoteText"/>
        <w:rPr>
          <w:rFonts w:cs="Arial"/>
          <w:i/>
          <w:iCs/>
          <w:sz w:val="18"/>
          <w:szCs w:val="18"/>
        </w:rPr>
      </w:pPr>
      <w:r>
        <w:rPr>
          <w:rStyle w:val="FootnoteReference"/>
          <w:rFonts w:cs="Arial"/>
          <w:sz w:val="18"/>
          <w:szCs w:val="18"/>
        </w:rPr>
        <w:footnoteRef/>
      </w:r>
      <w:r>
        <w:rPr>
          <w:rFonts w:cs="Arial"/>
          <w:sz w:val="18"/>
          <w:szCs w:val="18"/>
        </w:rPr>
        <w:t xml:space="preserve"> Disability Person’s </w:t>
      </w:r>
      <w:proofErr w:type="spellStart"/>
      <w:r>
        <w:rPr>
          <w:rFonts w:cs="Arial"/>
          <w:sz w:val="18"/>
          <w:szCs w:val="18"/>
        </w:rPr>
        <w:t>Organastions</w:t>
      </w:r>
      <w:proofErr w:type="spellEnd"/>
      <w:r>
        <w:rPr>
          <w:rFonts w:cs="Arial"/>
          <w:sz w:val="18"/>
          <w:szCs w:val="18"/>
        </w:rPr>
        <w:t xml:space="preserve"> Australia. (2019). </w:t>
      </w:r>
      <w:r>
        <w:rPr>
          <w:rFonts w:cs="Arial"/>
          <w:i/>
          <w:iCs/>
          <w:sz w:val="18"/>
          <w:szCs w:val="18"/>
        </w:rPr>
        <w:t xml:space="preserve">Violence, abuse, </w:t>
      </w:r>
      <w:proofErr w:type="gramStart"/>
      <w:r>
        <w:rPr>
          <w:rFonts w:cs="Arial"/>
          <w:i/>
          <w:iCs/>
          <w:sz w:val="18"/>
          <w:szCs w:val="18"/>
        </w:rPr>
        <w:t>exploitation</w:t>
      </w:r>
      <w:proofErr w:type="gramEnd"/>
      <w:r>
        <w:rPr>
          <w:rFonts w:cs="Arial"/>
          <w:i/>
          <w:iCs/>
          <w:sz w:val="18"/>
          <w:szCs w:val="18"/>
        </w:rPr>
        <w:t xml:space="preserve"> and neglect </w:t>
      </w:r>
    </w:p>
    <w:p w14:paraId="1EFA002C" w14:textId="326AFB5D" w:rsidR="00B30C8E" w:rsidRDefault="00B30C8E" w:rsidP="00B30C8E">
      <w:pPr>
        <w:pStyle w:val="FootnoteText"/>
        <w:rPr>
          <w:rFonts w:cs="Arial"/>
          <w:sz w:val="18"/>
          <w:szCs w:val="18"/>
        </w:rPr>
      </w:pPr>
      <w:r>
        <w:rPr>
          <w:rFonts w:cs="Arial"/>
          <w:i/>
          <w:iCs/>
          <w:sz w:val="18"/>
          <w:szCs w:val="18"/>
        </w:rPr>
        <w:t xml:space="preserve">against people with disability in Australia. Available data as </w:t>
      </w:r>
      <w:proofErr w:type="gramStart"/>
      <w:r>
        <w:rPr>
          <w:rFonts w:cs="Arial"/>
          <w:i/>
          <w:iCs/>
          <w:sz w:val="18"/>
          <w:szCs w:val="18"/>
        </w:rPr>
        <w:t>at</w:t>
      </w:r>
      <w:proofErr w:type="gramEnd"/>
      <w:r>
        <w:rPr>
          <w:rFonts w:cs="Arial"/>
          <w:i/>
          <w:iCs/>
          <w:sz w:val="18"/>
          <w:szCs w:val="18"/>
        </w:rPr>
        <w:t xml:space="preserve"> March 2019</w:t>
      </w:r>
      <w:r>
        <w:rPr>
          <w:rFonts w:cs="Arial"/>
          <w:sz w:val="18"/>
          <w:szCs w:val="18"/>
        </w:rPr>
        <w:t xml:space="preserve">. Available at </w:t>
      </w:r>
      <w:hyperlink r:id="rId3" w:history="1">
        <w:r w:rsidR="00AF1342" w:rsidRPr="00E21D49">
          <w:rPr>
            <w:rStyle w:val="Hyperlink"/>
            <w:rFonts w:cs="Arial"/>
            <w:sz w:val="18"/>
            <w:szCs w:val="18"/>
          </w:rPr>
          <w:t>https://dpoa.org.au/violence-abuse-exploitation-neglect-people-disability-australia-available-data-march-2019/violence-against-people-with-disability_dpoa_march-2019/</w:t>
        </w:r>
      </w:hyperlink>
      <w:r w:rsidR="00AF1342">
        <w:rPr>
          <w:rFonts w:cs="Arial"/>
          <w:sz w:val="18"/>
          <w:szCs w:val="18"/>
        </w:rPr>
        <w:t xml:space="preserve"> </w:t>
      </w:r>
      <w:r>
        <w:rPr>
          <w:rFonts w:cs="Arial"/>
          <w:sz w:val="18"/>
          <w:szCs w:val="18"/>
        </w:rPr>
        <w:t xml:space="preserve"> </w:t>
      </w:r>
    </w:p>
  </w:footnote>
  <w:footnote w:id="5">
    <w:p w14:paraId="4EA966AE" w14:textId="77777777" w:rsidR="00930977" w:rsidRDefault="00930977" w:rsidP="00E90DC2">
      <w:pPr>
        <w:pStyle w:val="FootnoteText"/>
        <w:rPr>
          <w:sz w:val="16"/>
          <w:szCs w:val="16"/>
        </w:rPr>
      </w:pPr>
      <w:r>
        <w:rPr>
          <w:rStyle w:val="FootnoteReference"/>
        </w:rPr>
        <w:footnoteRef/>
      </w:r>
      <w:r>
        <w:t xml:space="preserve"> </w:t>
      </w:r>
      <w:hyperlink r:id="rId4" w:history="1">
        <w:r w:rsidRPr="00527450">
          <w:rPr>
            <w:rStyle w:val="Hyperlink"/>
            <w:sz w:val="16"/>
            <w:szCs w:val="16"/>
          </w:rPr>
          <w:t>https://www.childsafety.gov.au/resources/national-principles-child-safe-organisations</w:t>
        </w:r>
      </w:hyperlink>
    </w:p>
    <w:p w14:paraId="53D5034B" w14:textId="77777777" w:rsidR="00930977" w:rsidRPr="00626A82" w:rsidRDefault="00930977" w:rsidP="00E90DC2">
      <w:pPr>
        <w:pStyle w:val="FootnoteText"/>
        <w:rPr>
          <w:lang w:val="en-US"/>
        </w:rPr>
      </w:pPr>
    </w:p>
  </w:footnote>
  <w:footnote w:id="6">
    <w:p w14:paraId="2DEC252C" w14:textId="77777777" w:rsidR="00930977" w:rsidRPr="001C5754" w:rsidRDefault="00930977" w:rsidP="00E90DC2">
      <w:pPr>
        <w:pStyle w:val="FootnoteText"/>
        <w:rPr>
          <w:sz w:val="14"/>
          <w:szCs w:val="14"/>
          <w:lang w:val="en-US"/>
        </w:rPr>
      </w:pPr>
      <w:r>
        <w:rPr>
          <w:rStyle w:val="FootnoteReference"/>
        </w:rPr>
        <w:footnoteRef/>
      </w:r>
      <w:r>
        <w:t xml:space="preserve"> </w:t>
      </w:r>
      <w:r w:rsidRPr="0080056A">
        <w:rPr>
          <w:sz w:val="16"/>
          <w:szCs w:val="16"/>
          <w:lang w:val="en-US"/>
        </w:rPr>
        <w:t xml:space="preserve">Note: Although this is a direct quote from the consultation session with NDIS providers, it is not included in the final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6EEA" w14:textId="67263051" w:rsidR="001D72B1" w:rsidRDefault="001D72B1">
    <w:pPr>
      <w:pStyle w:val="Header"/>
    </w:pPr>
    <w:r w:rsidRPr="006D5539">
      <w:rPr>
        <w:noProof/>
        <w:lang w:eastAsia="en-AU"/>
      </w:rPr>
      <w:drawing>
        <wp:anchor distT="0" distB="0" distL="114300" distR="114300" simplePos="0" relativeHeight="251658240" behindDoc="1" locked="0" layoutInCell="1" allowOverlap="1" wp14:anchorId="3F186F23" wp14:editId="6C063324">
          <wp:simplePos x="0" y="0"/>
          <wp:positionH relativeFrom="margin">
            <wp:posOffset>-672860</wp:posOffset>
          </wp:positionH>
          <wp:positionV relativeFrom="paragraph">
            <wp:posOffset>-293849</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D57"/>
    <w:multiLevelType w:val="hybridMultilevel"/>
    <w:tmpl w:val="D870E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1C1591"/>
    <w:multiLevelType w:val="hybridMultilevel"/>
    <w:tmpl w:val="1E5AC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CD30F9"/>
    <w:multiLevelType w:val="hybridMultilevel"/>
    <w:tmpl w:val="61E6337C"/>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FA25C90"/>
    <w:multiLevelType w:val="hybridMultilevel"/>
    <w:tmpl w:val="A3E4E320"/>
    <w:lvl w:ilvl="0" w:tplc="1A407904">
      <w:start w:val="16"/>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D7771"/>
    <w:multiLevelType w:val="hybridMultilevel"/>
    <w:tmpl w:val="638456D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3070CE"/>
    <w:multiLevelType w:val="hybridMultilevel"/>
    <w:tmpl w:val="BD1097DC"/>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A340F"/>
    <w:multiLevelType w:val="hybridMultilevel"/>
    <w:tmpl w:val="D21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0692C"/>
    <w:multiLevelType w:val="hybridMultilevel"/>
    <w:tmpl w:val="90CA17C4"/>
    <w:lvl w:ilvl="0" w:tplc="09A0808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CB5265"/>
    <w:multiLevelType w:val="hybridMultilevel"/>
    <w:tmpl w:val="0DB673D0"/>
    <w:lvl w:ilvl="0" w:tplc="0C09000F">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15:restartNumberingAfterBreak="0">
    <w:nsid w:val="28E216A4"/>
    <w:multiLevelType w:val="hybridMultilevel"/>
    <w:tmpl w:val="2E06E8F0"/>
    <w:lvl w:ilvl="0" w:tplc="FFFFFFFF">
      <w:start w:val="1"/>
      <w:numFmt w:val="decimal"/>
      <w:lvlText w:val="%1."/>
      <w:lvlJc w:val="left"/>
      <w:pPr>
        <w:ind w:left="1080" w:hanging="360"/>
      </w:pPr>
      <w:rPr>
        <w:color w:val="000000"/>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 w15:restartNumberingAfterBreak="0">
    <w:nsid w:val="31D563B9"/>
    <w:multiLevelType w:val="hybridMultilevel"/>
    <w:tmpl w:val="EAB6DB9A"/>
    <w:lvl w:ilvl="0" w:tplc="1A407904">
      <w:start w:val="1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1" w15:restartNumberingAfterBreak="0">
    <w:nsid w:val="3311515C"/>
    <w:multiLevelType w:val="hybridMultilevel"/>
    <w:tmpl w:val="03040AFA"/>
    <w:lvl w:ilvl="0" w:tplc="E9D2DA68">
      <w:numFmt w:val="bullet"/>
      <w:lvlText w:val="•"/>
      <w:lvlJc w:val="left"/>
      <w:pPr>
        <w:ind w:left="360" w:hanging="360"/>
      </w:pPr>
      <w:rPr>
        <w:rFonts w:ascii="Arial" w:eastAsiaTheme="minorHAns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383587"/>
    <w:multiLevelType w:val="hybridMultilevel"/>
    <w:tmpl w:val="C480E1AC"/>
    <w:lvl w:ilvl="0" w:tplc="45AE749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BAF651A"/>
    <w:multiLevelType w:val="hybridMultilevel"/>
    <w:tmpl w:val="C0109E36"/>
    <w:lvl w:ilvl="0" w:tplc="1A407904">
      <w:start w:val="16"/>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812E2"/>
    <w:multiLevelType w:val="hybridMultilevel"/>
    <w:tmpl w:val="316A3668"/>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473C165F"/>
    <w:multiLevelType w:val="hybridMultilevel"/>
    <w:tmpl w:val="C9A0B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B52474C"/>
    <w:multiLevelType w:val="hybridMultilevel"/>
    <w:tmpl w:val="CCBE14E4"/>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51E62E33"/>
    <w:multiLevelType w:val="hybridMultilevel"/>
    <w:tmpl w:val="0960F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9270B8"/>
    <w:multiLevelType w:val="hybridMultilevel"/>
    <w:tmpl w:val="19C4FA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AA7F26"/>
    <w:multiLevelType w:val="hybridMultilevel"/>
    <w:tmpl w:val="63845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BF5C63"/>
    <w:multiLevelType w:val="hybridMultilevel"/>
    <w:tmpl w:val="FE3262A8"/>
    <w:lvl w:ilvl="0" w:tplc="1A407904">
      <w:start w:val="16"/>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BA2B4A"/>
    <w:multiLevelType w:val="hybridMultilevel"/>
    <w:tmpl w:val="EC200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3AD20C9"/>
    <w:multiLevelType w:val="hybridMultilevel"/>
    <w:tmpl w:val="2526707A"/>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FA0606"/>
    <w:multiLevelType w:val="hybridMultilevel"/>
    <w:tmpl w:val="A1605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2CA7019"/>
    <w:multiLevelType w:val="hybridMultilevel"/>
    <w:tmpl w:val="8E1C6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2"/>
  </w:num>
  <w:num w:numId="4">
    <w:abstractNumId w:val="18"/>
  </w:num>
  <w:num w:numId="5">
    <w:abstractNumId w:val="19"/>
  </w:num>
  <w:num w:numId="6">
    <w:abstractNumId w:val="1"/>
  </w:num>
  <w:num w:numId="7">
    <w:abstractNumId w:val="13"/>
  </w:num>
  <w:num w:numId="8">
    <w:abstractNumId w:val="24"/>
  </w:num>
  <w:num w:numId="9">
    <w:abstractNumId w:val="2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0"/>
  </w:num>
  <w:num w:numId="16">
    <w:abstractNumId w:val="16"/>
  </w:num>
  <w:num w:numId="17">
    <w:abstractNumId w:val="4"/>
  </w:num>
  <w:num w:numId="18">
    <w:abstractNumId w:val="11"/>
  </w:num>
  <w:num w:numId="19">
    <w:abstractNumId w:val="2"/>
  </w:num>
  <w:num w:numId="20">
    <w:abstractNumId w:val="0"/>
  </w:num>
  <w:num w:numId="21">
    <w:abstractNumId w:val="14"/>
  </w:num>
  <w:num w:numId="22">
    <w:abstractNumId w:val="3"/>
  </w:num>
  <w:num w:numId="23">
    <w:abstractNumId w:val="21"/>
  </w:num>
  <w:num w:numId="24">
    <w:abstractNumId w:val="10"/>
  </w:num>
  <w:num w:numId="25">
    <w:abstractNumId w:val="6"/>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I1tTSxNDextDBW0lEKTi0uzszPAykwrAUA+yMTeywAAAA="/>
  </w:docVars>
  <w:rsids>
    <w:rsidRoot w:val="00B10D7E"/>
    <w:rsid w:val="000026E3"/>
    <w:rsid w:val="00023AC6"/>
    <w:rsid w:val="0002522D"/>
    <w:rsid w:val="0002581B"/>
    <w:rsid w:val="0002616D"/>
    <w:rsid w:val="00034ED4"/>
    <w:rsid w:val="00035B68"/>
    <w:rsid w:val="00035D74"/>
    <w:rsid w:val="00047DDF"/>
    <w:rsid w:val="0005160B"/>
    <w:rsid w:val="00052FA0"/>
    <w:rsid w:val="00054B00"/>
    <w:rsid w:val="00064301"/>
    <w:rsid w:val="00074BD4"/>
    <w:rsid w:val="000759D0"/>
    <w:rsid w:val="000768AD"/>
    <w:rsid w:val="00080C1D"/>
    <w:rsid w:val="00085ADE"/>
    <w:rsid w:val="00094367"/>
    <w:rsid w:val="000A0205"/>
    <w:rsid w:val="000A1797"/>
    <w:rsid w:val="000A347D"/>
    <w:rsid w:val="000A52A9"/>
    <w:rsid w:val="000A6719"/>
    <w:rsid w:val="000C3AA0"/>
    <w:rsid w:val="000C3B6A"/>
    <w:rsid w:val="000C61C8"/>
    <w:rsid w:val="000C7B23"/>
    <w:rsid w:val="000D2037"/>
    <w:rsid w:val="000E1615"/>
    <w:rsid w:val="000E263D"/>
    <w:rsid w:val="000E7398"/>
    <w:rsid w:val="000F12BC"/>
    <w:rsid w:val="000F59A3"/>
    <w:rsid w:val="00103EA2"/>
    <w:rsid w:val="0010664A"/>
    <w:rsid w:val="00120C09"/>
    <w:rsid w:val="0012342C"/>
    <w:rsid w:val="00125275"/>
    <w:rsid w:val="00132F1C"/>
    <w:rsid w:val="00133808"/>
    <w:rsid w:val="00134334"/>
    <w:rsid w:val="00134AF8"/>
    <w:rsid w:val="00137B53"/>
    <w:rsid w:val="00142BBD"/>
    <w:rsid w:val="00151F2F"/>
    <w:rsid w:val="00154072"/>
    <w:rsid w:val="00165D87"/>
    <w:rsid w:val="00171646"/>
    <w:rsid w:val="0017289A"/>
    <w:rsid w:val="00176114"/>
    <w:rsid w:val="00181433"/>
    <w:rsid w:val="00183613"/>
    <w:rsid w:val="00184DED"/>
    <w:rsid w:val="00194963"/>
    <w:rsid w:val="00197D08"/>
    <w:rsid w:val="001A14E1"/>
    <w:rsid w:val="001A7DD1"/>
    <w:rsid w:val="001B0D0A"/>
    <w:rsid w:val="001B37D1"/>
    <w:rsid w:val="001B4933"/>
    <w:rsid w:val="001B6999"/>
    <w:rsid w:val="001B74D5"/>
    <w:rsid w:val="001B786A"/>
    <w:rsid w:val="001C4615"/>
    <w:rsid w:val="001C76EA"/>
    <w:rsid w:val="001D3181"/>
    <w:rsid w:val="001D5F66"/>
    <w:rsid w:val="001D72B1"/>
    <w:rsid w:val="001E3577"/>
    <w:rsid w:val="001E4449"/>
    <w:rsid w:val="001E6A44"/>
    <w:rsid w:val="001F294C"/>
    <w:rsid w:val="001F31BD"/>
    <w:rsid w:val="001F6426"/>
    <w:rsid w:val="0020378D"/>
    <w:rsid w:val="002049AB"/>
    <w:rsid w:val="00206374"/>
    <w:rsid w:val="002117A0"/>
    <w:rsid w:val="00213AF2"/>
    <w:rsid w:val="00214D37"/>
    <w:rsid w:val="00224882"/>
    <w:rsid w:val="00230066"/>
    <w:rsid w:val="00233E54"/>
    <w:rsid w:val="002350DC"/>
    <w:rsid w:val="002365BE"/>
    <w:rsid w:val="00236EAE"/>
    <w:rsid w:val="0023711C"/>
    <w:rsid w:val="00237A8A"/>
    <w:rsid w:val="00240F30"/>
    <w:rsid w:val="0024137D"/>
    <w:rsid w:val="00247484"/>
    <w:rsid w:val="002479EC"/>
    <w:rsid w:val="002561D8"/>
    <w:rsid w:val="00257445"/>
    <w:rsid w:val="0026007B"/>
    <w:rsid w:val="0026418A"/>
    <w:rsid w:val="00266AB3"/>
    <w:rsid w:val="00271DF8"/>
    <w:rsid w:val="002769F0"/>
    <w:rsid w:val="00277363"/>
    <w:rsid w:val="00281846"/>
    <w:rsid w:val="0029002E"/>
    <w:rsid w:val="00290763"/>
    <w:rsid w:val="00292F39"/>
    <w:rsid w:val="00296256"/>
    <w:rsid w:val="002971E1"/>
    <w:rsid w:val="002B2CA1"/>
    <w:rsid w:val="002B7BA2"/>
    <w:rsid w:val="002D3A73"/>
    <w:rsid w:val="002D4CAB"/>
    <w:rsid w:val="002E0A6B"/>
    <w:rsid w:val="002E2944"/>
    <w:rsid w:val="002E3371"/>
    <w:rsid w:val="002E62B1"/>
    <w:rsid w:val="002E679F"/>
    <w:rsid w:val="002F1330"/>
    <w:rsid w:val="002F2D96"/>
    <w:rsid w:val="002F5B40"/>
    <w:rsid w:val="00300746"/>
    <w:rsid w:val="00300DD6"/>
    <w:rsid w:val="00301D97"/>
    <w:rsid w:val="00304965"/>
    <w:rsid w:val="003068BF"/>
    <w:rsid w:val="00311487"/>
    <w:rsid w:val="00312EC5"/>
    <w:rsid w:val="0031314E"/>
    <w:rsid w:val="00313A7C"/>
    <w:rsid w:val="00315C59"/>
    <w:rsid w:val="003213ED"/>
    <w:rsid w:val="00322C9C"/>
    <w:rsid w:val="00330063"/>
    <w:rsid w:val="003300F8"/>
    <w:rsid w:val="0033021E"/>
    <w:rsid w:val="00331323"/>
    <w:rsid w:val="00331ADE"/>
    <w:rsid w:val="003321FE"/>
    <w:rsid w:val="00344176"/>
    <w:rsid w:val="00345528"/>
    <w:rsid w:val="00351482"/>
    <w:rsid w:val="0035477F"/>
    <w:rsid w:val="00354F1A"/>
    <w:rsid w:val="003560DB"/>
    <w:rsid w:val="00356951"/>
    <w:rsid w:val="003630AC"/>
    <w:rsid w:val="00363B66"/>
    <w:rsid w:val="00365E97"/>
    <w:rsid w:val="00373D7D"/>
    <w:rsid w:val="00394372"/>
    <w:rsid w:val="00394BF5"/>
    <w:rsid w:val="003A49C1"/>
    <w:rsid w:val="003A6ECD"/>
    <w:rsid w:val="003A73BC"/>
    <w:rsid w:val="003B3F8B"/>
    <w:rsid w:val="003B518C"/>
    <w:rsid w:val="003C4468"/>
    <w:rsid w:val="003C6FCE"/>
    <w:rsid w:val="003D1DD8"/>
    <w:rsid w:val="003D5585"/>
    <w:rsid w:val="003E65FD"/>
    <w:rsid w:val="003F5BD9"/>
    <w:rsid w:val="004115BB"/>
    <w:rsid w:val="00417146"/>
    <w:rsid w:val="00421829"/>
    <w:rsid w:val="00421AAF"/>
    <w:rsid w:val="004237B8"/>
    <w:rsid w:val="00425A0A"/>
    <w:rsid w:val="00440D29"/>
    <w:rsid w:val="004464C1"/>
    <w:rsid w:val="00453AA4"/>
    <w:rsid w:val="00455AEA"/>
    <w:rsid w:val="004662A3"/>
    <w:rsid w:val="0047209F"/>
    <w:rsid w:val="0047733E"/>
    <w:rsid w:val="00484DF3"/>
    <w:rsid w:val="0048597A"/>
    <w:rsid w:val="00491806"/>
    <w:rsid w:val="004954A5"/>
    <w:rsid w:val="00495D30"/>
    <w:rsid w:val="004A1AE3"/>
    <w:rsid w:val="004A2539"/>
    <w:rsid w:val="004A2654"/>
    <w:rsid w:val="004B4DE5"/>
    <w:rsid w:val="004B63D2"/>
    <w:rsid w:val="004B73B2"/>
    <w:rsid w:val="004C27C5"/>
    <w:rsid w:val="004C3EA2"/>
    <w:rsid w:val="004C4259"/>
    <w:rsid w:val="004C6ABE"/>
    <w:rsid w:val="004D02D9"/>
    <w:rsid w:val="004D06AA"/>
    <w:rsid w:val="004D3BBC"/>
    <w:rsid w:val="004E2995"/>
    <w:rsid w:val="004E34A7"/>
    <w:rsid w:val="004F4E81"/>
    <w:rsid w:val="005018B9"/>
    <w:rsid w:val="00506057"/>
    <w:rsid w:val="00507A98"/>
    <w:rsid w:val="00510078"/>
    <w:rsid w:val="0051236B"/>
    <w:rsid w:val="005178CE"/>
    <w:rsid w:val="00517CE9"/>
    <w:rsid w:val="0052001C"/>
    <w:rsid w:val="0052322C"/>
    <w:rsid w:val="00523DA2"/>
    <w:rsid w:val="0052498E"/>
    <w:rsid w:val="005263C5"/>
    <w:rsid w:val="00531DBE"/>
    <w:rsid w:val="00532FED"/>
    <w:rsid w:val="00534E61"/>
    <w:rsid w:val="00535AC7"/>
    <w:rsid w:val="00537DE8"/>
    <w:rsid w:val="005407D9"/>
    <w:rsid w:val="00540D35"/>
    <w:rsid w:val="0055088B"/>
    <w:rsid w:val="005559B9"/>
    <w:rsid w:val="005637C3"/>
    <w:rsid w:val="00565A4B"/>
    <w:rsid w:val="005670C4"/>
    <w:rsid w:val="00580799"/>
    <w:rsid w:val="00584F50"/>
    <w:rsid w:val="00586A7E"/>
    <w:rsid w:val="00587A3A"/>
    <w:rsid w:val="00591697"/>
    <w:rsid w:val="00596DE2"/>
    <w:rsid w:val="005A5077"/>
    <w:rsid w:val="005A663A"/>
    <w:rsid w:val="005A76B7"/>
    <w:rsid w:val="005B0654"/>
    <w:rsid w:val="005C0A1D"/>
    <w:rsid w:val="005C1D8E"/>
    <w:rsid w:val="005C2CFE"/>
    <w:rsid w:val="005C4BB9"/>
    <w:rsid w:val="005D288E"/>
    <w:rsid w:val="005D641B"/>
    <w:rsid w:val="005E2033"/>
    <w:rsid w:val="005E39B3"/>
    <w:rsid w:val="005E4EDC"/>
    <w:rsid w:val="005E6236"/>
    <w:rsid w:val="005E62D5"/>
    <w:rsid w:val="005E6C27"/>
    <w:rsid w:val="005E6D91"/>
    <w:rsid w:val="005F076A"/>
    <w:rsid w:val="005F4A8D"/>
    <w:rsid w:val="005F545A"/>
    <w:rsid w:val="00602D85"/>
    <w:rsid w:val="00602FC4"/>
    <w:rsid w:val="00624B80"/>
    <w:rsid w:val="0062556A"/>
    <w:rsid w:val="00630D4E"/>
    <w:rsid w:val="006338D8"/>
    <w:rsid w:val="00640833"/>
    <w:rsid w:val="00640EBB"/>
    <w:rsid w:val="00666878"/>
    <w:rsid w:val="00671221"/>
    <w:rsid w:val="00675DE1"/>
    <w:rsid w:val="00675DF5"/>
    <w:rsid w:val="0068489D"/>
    <w:rsid w:val="00685B77"/>
    <w:rsid w:val="00690463"/>
    <w:rsid w:val="00693EDA"/>
    <w:rsid w:val="0069446C"/>
    <w:rsid w:val="00695561"/>
    <w:rsid w:val="00696B58"/>
    <w:rsid w:val="00697F3C"/>
    <w:rsid w:val="006A47B5"/>
    <w:rsid w:val="006A6469"/>
    <w:rsid w:val="006B01F6"/>
    <w:rsid w:val="006B1739"/>
    <w:rsid w:val="006B2A3F"/>
    <w:rsid w:val="006B30A8"/>
    <w:rsid w:val="006B4E02"/>
    <w:rsid w:val="006B75B3"/>
    <w:rsid w:val="006B7AB6"/>
    <w:rsid w:val="006C0017"/>
    <w:rsid w:val="006C29B5"/>
    <w:rsid w:val="006C479F"/>
    <w:rsid w:val="006D063E"/>
    <w:rsid w:val="006D4243"/>
    <w:rsid w:val="006D474F"/>
    <w:rsid w:val="006E00D6"/>
    <w:rsid w:val="006E7489"/>
    <w:rsid w:val="006F2638"/>
    <w:rsid w:val="006F295A"/>
    <w:rsid w:val="006F656A"/>
    <w:rsid w:val="00706FF4"/>
    <w:rsid w:val="0071452A"/>
    <w:rsid w:val="00716C6E"/>
    <w:rsid w:val="0072118C"/>
    <w:rsid w:val="00732E14"/>
    <w:rsid w:val="00740197"/>
    <w:rsid w:val="007462DC"/>
    <w:rsid w:val="00754BFE"/>
    <w:rsid w:val="00760644"/>
    <w:rsid w:val="007634D1"/>
    <w:rsid w:val="00770BCA"/>
    <w:rsid w:val="00775A88"/>
    <w:rsid w:val="00775EB0"/>
    <w:rsid w:val="00780948"/>
    <w:rsid w:val="00783D11"/>
    <w:rsid w:val="007841BC"/>
    <w:rsid w:val="00786314"/>
    <w:rsid w:val="00787A45"/>
    <w:rsid w:val="00796E40"/>
    <w:rsid w:val="007A0899"/>
    <w:rsid w:val="007A6872"/>
    <w:rsid w:val="007A73A6"/>
    <w:rsid w:val="007B0180"/>
    <w:rsid w:val="007B15F7"/>
    <w:rsid w:val="007C148C"/>
    <w:rsid w:val="007C476D"/>
    <w:rsid w:val="007C4DB2"/>
    <w:rsid w:val="007C765D"/>
    <w:rsid w:val="007D47C0"/>
    <w:rsid w:val="007D5CAA"/>
    <w:rsid w:val="007D6AF7"/>
    <w:rsid w:val="007E1738"/>
    <w:rsid w:val="007F2663"/>
    <w:rsid w:val="0080056A"/>
    <w:rsid w:val="0080139E"/>
    <w:rsid w:val="0080288D"/>
    <w:rsid w:val="00815674"/>
    <w:rsid w:val="0084072E"/>
    <w:rsid w:val="008414C3"/>
    <w:rsid w:val="00842839"/>
    <w:rsid w:val="00845A14"/>
    <w:rsid w:val="0085084F"/>
    <w:rsid w:val="00855052"/>
    <w:rsid w:val="00860856"/>
    <w:rsid w:val="00862052"/>
    <w:rsid w:val="008649B7"/>
    <w:rsid w:val="008653DC"/>
    <w:rsid w:val="00872D3B"/>
    <w:rsid w:val="00873664"/>
    <w:rsid w:val="00877432"/>
    <w:rsid w:val="00884918"/>
    <w:rsid w:val="0088631B"/>
    <w:rsid w:val="008868E1"/>
    <w:rsid w:val="0089078E"/>
    <w:rsid w:val="00892020"/>
    <w:rsid w:val="008A106A"/>
    <w:rsid w:val="008A6990"/>
    <w:rsid w:val="008A762B"/>
    <w:rsid w:val="008A7FCF"/>
    <w:rsid w:val="008B11F7"/>
    <w:rsid w:val="008B13E8"/>
    <w:rsid w:val="008B1485"/>
    <w:rsid w:val="008C2648"/>
    <w:rsid w:val="008C434B"/>
    <w:rsid w:val="008C59FB"/>
    <w:rsid w:val="008E2F00"/>
    <w:rsid w:val="008E5101"/>
    <w:rsid w:val="008E6929"/>
    <w:rsid w:val="008E72DF"/>
    <w:rsid w:val="008F097D"/>
    <w:rsid w:val="008F0E43"/>
    <w:rsid w:val="00903767"/>
    <w:rsid w:val="00912143"/>
    <w:rsid w:val="00915F27"/>
    <w:rsid w:val="00916B13"/>
    <w:rsid w:val="0091758F"/>
    <w:rsid w:val="0092386E"/>
    <w:rsid w:val="009276E7"/>
    <w:rsid w:val="00930977"/>
    <w:rsid w:val="009310DE"/>
    <w:rsid w:val="00931D26"/>
    <w:rsid w:val="0093531A"/>
    <w:rsid w:val="00943C2E"/>
    <w:rsid w:val="00946B4F"/>
    <w:rsid w:val="0094765D"/>
    <w:rsid w:val="00956442"/>
    <w:rsid w:val="00983106"/>
    <w:rsid w:val="009843CE"/>
    <w:rsid w:val="0098533C"/>
    <w:rsid w:val="009870AF"/>
    <w:rsid w:val="00987D12"/>
    <w:rsid w:val="0099090E"/>
    <w:rsid w:val="00997947"/>
    <w:rsid w:val="009A53A8"/>
    <w:rsid w:val="009B3B8B"/>
    <w:rsid w:val="009C099B"/>
    <w:rsid w:val="009C5222"/>
    <w:rsid w:val="009D2B6E"/>
    <w:rsid w:val="009D32E9"/>
    <w:rsid w:val="009E16D1"/>
    <w:rsid w:val="009E1AA3"/>
    <w:rsid w:val="009E5D58"/>
    <w:rsid w:val="009F110F"/>
    <w:rsid w:val="009F7A43"/>
    <w:rsid w:val="00A0538B"/>
    <w:rsid w:val="00A05FF4"/>
    <w:rsid w:val="00A11F0A"/>
    <w:rsid w:val="00A126E4"/>
    <w:rsid w:val="00A14660"/>
    <w:rsid w:val="00A14D3E"/>
    <w:rsid w:val="00A15430"/>
    <w:rsid w:val="00A160BE"/>
    <w:rsid w:val="00A168C0"/>
    <w:rsid w:val="00A22472"/>
    <w:rsid w:val="00A24483"/>
    <w:rsid w:val="00A31B0E"/>
    <w:rsid w:val="00A32176"/>
    <w:rsid w:val="00A37C63"/>
    <w:rsid w:val="00A45F06"/>
    <w:rsid w:val="00A461EF"/>
    <w:rsid w:val="00A5375A"/>
    <w:rsid w:val="00A55990"/>
    <w:rsid w:val="00A612FD"/>
    <w:rsid w:val="00A636B6"/>
    <w:rsid w:val="00A63BCB"/>
    <w:rsid w:val="00A70C1C"/>
    <w:rsid w:val="00A7620D"/>
    <w:rsid w:val="00A87697"/>
    <w:rsid w:val="00A95653"/>
    <w:rsid w:val="00A9565E"/>
    <w:rsid w:val="00A95B32"/>
    <w:rsid w:val="00A96E58"/>
    <w:rsid w:val="00AA12E7"/>
    <w:rsid w:val="00AA1CDE"/>
    <w:rsid w:val="00AB3584"/>
    <w:rsid w:val="00AB4DA6"/>
    <w:rsid w:val="00AB53F8"/>
    <w:rsid w:val="00AC2F96"/>
    <w:rsid w:val="00AC5E9C"/>
    <w:rsid w:val="00AD4DF8"/>
    <w:rsid w:val="00AD629C"/>
    <w:rsid w:val="00AE25EF"/>
    <w:rsid w:val="00AE6E2E"/>
    <w:rsid w:val="00AF1342"/>
    <w:rsid w:val="00AF5994"/>
    <w:rsid w:val="00AF7055"/>
    <w:rsid w:val="00B0422D"/>
    <w:rsid w:val="00B10D7E"/>
    <w:rsid w:val="00B140D1"/>
    <w:rsid w:val="00B152B0"/>
    <w:rsid w:val="00B20DF9"/>
    <w:rsid w:val="00B253BB"/>
    <w:rsid w:val="00B25EBC"/>
    <w:rsid w:val="00B27A07"/>
    <w:rsid w:val="00B30C8E"/>
    <w:rsid w:val="00B315CC"/>
    <w:rsid w:val="00B33D7E"/>
    <w:rsid w:val="00B46104"/>
    <w:rsid w:val="00B47722"/>
    <w:rsid w:val="00B6326B"/>
    <w:rsid w:val="00B65F14"/>
    <w:rsid w:val="00B664B1"/>
    <w:rsid w:val="00B71A19"/>
    <w:rsid w:val="00B72A44"/>
    <w:rsid w:val="00B86F90"/>
    <w:rsid w:val="00B87BE9"/>
    <w:rsid w:val="00BA031C"/>
    <w:rsid w:val="00BA0DDC"/>
    <w:rsid w:val="00BA2FEA"/>
    <w:rsid w:val="00BB015F"/>
    <w:rsid w:val="00BB15D1"/>
    <w:rsid w:val="00BB4F64"/>
    <w:rsid w:val="00BB5094"/>
    <w:rsid w:val="00BB5A6B"/>
    <w:rsid w:val="00BC5359"/>
    <w:rsid w:val="00BD02E1"/>
    <w:rsid w:val="00BD76CC"/>
    <w:rsid w:val="00BE46E0"/>
    <w:rsid w:val="00BE79A1"/>
    <w:rsid w:val="00BF752B"/>
    <w:rsid w:val="00C00E8D"/>
    <w:rsid w:val="00C02500"/>
    <w:rsid w:val="00C04DE7"/>
    <w:rsid w:val="00C058D2"/>
    <w:rsid w:val="00C07214"/>
    <w:rsid w:val="00C1401F"/>
    <w:rsid w:val="00C14EEB"/>
    <w:rsid w:val="00C174AD"/>
    <w:rsid w:val="00C22ED2"/>
    <w:rsid w:val="00C24951"/>
    <w:rsid w:val="00C25104"/>
    <w:rsid w:val="00C258ED"/>
    <w:rsid w:val="00C259CF"/>
    <w:rsid w:val="00C32750"/>
    <w:rsid w:val="00C501F8"/>
    <w:rsid w:val="00C52AB3"/>
    <w:rsid w:val="00C62FB0"/>
    <w:rsid w:val="00C6536A"/>
    <w:rsid w:val="00C66616"/>
    <w:rsid w:val="00C702BA"/>
    <w:rsid w:val="00C70F23"/>
    <w:rsid w:val="00C812A0"/>
    <w:rsid w:val="00C945C9"/>
    <w:rsid w:val="00CA4D22"/>
    <w:rsid w:val="00CB0300"/>
    <w:rsid w:val="00CB0DDA"/>
    <w:rsid w:val="00CB67C8"/>
    <w:rsid w:val="00CB6FC7"/>
    <w:rsid w:val="00CD06DF"/>
    <w:rsid w:val="00CD2352"/>
    <w:rsid w:val="00CD2DD0"/>
    <w:rsid w:val="00CD6200"/>
    <w:rsid w:val="00CD7226"/>
    <w:rsid w:val="00CF3B4C"/>
    <w:rsid w:val="00CF7E2E"/>
    <w:rsid w:val="00D01CD7"/>
    <w:rsid w:val="00D02F3A"/>
    <w:rsid w:val="00D10FA6"/>
    <w:rsid w:val="00D1283A"/>
    <w:rsid w:val="00D13811"/>
    <w:rsid w:val="00D40F65"/>
    <w:rsid w:val="00D45E5B"/>
    <w:rsid w:val="00D52557"/>
    <w:rsid w:val="00D60C9A"/>
    <w:rsid w:val="00D67A38"/>
    <w:rsid w:val="00D7051F"/>
    <w:rsid w:val="00D721FC"/>
    <w:rsid w:val="00D73F0F"/>
    <w:rsid w:val="00D769B2"/>
    <w:rsid w:val="00D8288A"/>
    <w:rsid w:val="00D83125"/>
    <w:rsid w:val="00D8593D"/>
    <w:rsid w:val="00D8605A"/>
    <w:rsid w:val="00D90176"/>
    <w:rsid w:val="00D9061A"/>
    <w:rsid w:val="00D94809"/>
    <w:rsid w:val="00DA37B6"/>
    <w:rsid w:val="00DA3F45"/>
    <w:rsid w:val="00DB055B"/>
    <w:rsid w:val="00DB12DF"/>
    <w:rsid w:val="00DB1E44"/>
    <w:rsid w:val="00DB7365"/>
    <w:rsid w:val="00DC4E52"/>
    <w:rsid w:val="00DC70F1"/>
    <w:rsid w:val="00DD00B6"/>
    <w:rsid w:val="00DD18D2"/>
    <w:rsid w:val="00DD1EE8"/>
    <w:rsid w:val="00DD2246"/>
    <w:rsid w:val="00DF1250"/>
    <w:rsid w:val="00DF17DE"/>
    <w:rsid w:val="00DF3D7A"/>
    <w:rsid w:val="00DF6C45"/>
    <w:rsid w:val="00E00597"/>
    <w:rsid w:val="00E00A9C"/>
    <w:rsid w:val="00E0209C"/>
    <w:rsid w:val="00E058D6"/>
    <w:rsid w:val="00E109D7"/>
    <w:rsid w:val="00E12976"/>
    <w:rsid w:val="00E22376"/>
    <w:rsid w:val="00E247A7"/>
    <w:rsid w:val="00E259D4"/>
    <w:rsid w:val="00E3228B"/>
    <w:rsid w:val="00E3682A"/>
    <w:rsid w:val="00E36BDE"/>
    <w:rsid w:val="00E45965"/>
    <w:rsid w:val="00E52503"/>
    <w:rsid w:val="00E53327"/>
    <w:rsid w:val="00E54B98"/>
    <w:rsid w:val="00E56A4C"/>
    <w:rsid w:val="00E56DBE"/>
    <w:rsid w:val="00E70371"/>
    <w:rsid w:val="00E81DB0"/>
    <w:rsid w:val="00E83F0B"/>
    <w:rsid w:val="00E8642B"/>
    <w:rsid w:val="00E87212"/>
    <w:rsid w:val="00E90DC2"/>
    <w:rsid w:val="00EA3AF6"/>
    <w:rsid w:val="00EA6C7D"/>
    <w:rsid w:val="00EA7333"/>
    <w:rsid w:val="00EA7A0F"/>
    <w:rsid w:val="00EC12D0"/>
    <w:rsid w:val="00EC1C5C"/>
    <w:rsid w:val="00EC3B84"/>
    <w:rsid w:val="00EC78F6"/>
    <w:rsid w:val="00ED018C"/>
    <w:rsid w:val="00ED1FA3"/>
    <w:rsid w:val="00EE1584"/>
    <w:rsid w:val="00EF273C"/>
    <w:rsid w:val="00EF4336"/>
    <w:rsid w:val="00F000FF"/>
    <w:rsid w:val="00F131C6"/>
    <w:rsid w:val="00F257F5"/>
    <w:rsid w:val="00F27392"/>
    <w:rsid w:val="00F31826"/>
    <w:rsid w:val="00F32053"/>
    <w:rsid w:val="00F33CF1"/>
    <w:rsid w:val="00F41F15"/>
    <w:rsid w:val="00F476D6"/>
    <w:rsid w:val="00F50B19"/>
    <w:rsid w:val="00F56FDF"/>
    <w:rsid w:val="00F60997"/>
    <w:rsid w:val="00F61F59"/>
    <w:rsid w:val="00F6631B"/>
    <w:rsid w:val="00F7038A"/>
    <w:rsid w:val="00F70A11"/>
    <w:rsid w:val="00F74FD1"/>
    <w:rsid w:val="00F765E2"/>
    <w:rsid w:val="00F807A5"/>
    <w:rsid w:val="00F81BB2"/>
    <w:rsid w:val="00F81E61"/>
    <w:rsid w:val="00F82FE2"/>
    <w:rsid w:val="00F8362E"/>
    <w:rsid w:val="00F839D3"/>
    <w:rsid w:val="00F84C97"/>
    <w:rsid w:val="00F96E83"/>
    <w:rsid w:val="00FA2419"/>
    <w:rsid w:val="00FA415E"/>
    <w:rsid w:val="00FB1FCA"/>
    <w:rsid w:val="00FB4617"/>
    <w:rsid w:val="00FB67D8"/>
    <w:rsid w:val="00FC0E5A"/>
    <w:rsid w:val="00FC222A"/>
    <w:rsid w:val="00FE4619"/>
    <w:rsid w:val="00FE4D15"/>
    <w:rsid w:val="00FF03DE"/>
    <w:rsid w:val="00FF09B2"/>
    <w:rsid w:val="00FF0B67"/>
    <w:rsid w:val="00FF1069"/>
    <w:rsid w:val="01D72A19"/>
    <w:rsid w:val="02C67701"/>
    <w:rsid w:val="041A8E8C"/>
    <w:rsid w:val="05C07313"/>
    <w:rsid w:val="064099FB"/>
    <w:rsid w:val="07522F4E"/>
    <w:rsid w:val="079D6496"/>
    <w:rsid w:val="07C03248"/>
    <w:rsid w:val="08EDFFAF"/>
    <w:rsid w:val="0E8A9788"/>
    <w:rsid w:val="0ED8E088"/>
    <w:rsid w:val="10BF0720"/>
    <w:rsid w:val="111C49F5"/>
    <w:rsid w:val="127F66C1"/>
    <w:rsid w:val="145BE985"/>
    <w:rsid w:val="151C1A43"/>
    <w:rsid w:val="1530F80C"/>
    <w:rsid w:val="15B35A5A"/>
    <w:rsid w:val="16C5D70F"/>
    <w:rsid w:val="17A3C011"/>
    <w:rsid w:val="17C00FC7"/>
    <w:rsid w:val="18408996"/>
    <w:rsid w:val="185D26B1"/>
    <w:rsid w:val="18CD28BC"/>
    <w:rsid w:val="19CD4A2F"/>
    <w:rsid w:val="1A261643"/>
    <w:rsid w:val="1A43037E"/>
    <w:rsid w:val="1A4CC109"/>
    <w:rsid w:val="1E26A62B"/>
    <w:rsid w:val="1F20322C"/>
    <w:rsid w:val="1F3285BF"/>
    <w:rsid w:val="1F5A3CA0"/>
    <w:rsid w:val="249668BD"/>
    <w:rsid w:val="26050ED8"/>
    <w:rsid w:val="2A304ED2"/>
    <w:rsid w:val="2AEE3631"/>
    <w:rsid w:val="2B90B23A"/>
    <w:rsid w:val="2C01C4EB"/>
    <w:rsid w:val="2DA2731B"/>
    <w:rsid w:val="2DA4FBA4"/>
    <w:rsid w:val="2F21DAD9"/>
    <w:rsid w:val="2F5F0A47"/>
    <w:rsid w:val="304174A6"/>
    <w:rsid w:val="304AFB00"/>
    <w:rsid w:val="315D77B5"/>
    <w:rsid w:val="34226418"/>
    <w:rsid w:val="347BF01A"/>
    <w:rsid w:val="34E41C68"/>
    <w:rsid w:val="34EA2061"/>
    <w:rsid w:val="37533D70"/>
    <w:rsid w:val="3970F486"/>
    <w:rsid w:val="3CB3991B"/>
    <w:rsid w:val="3D270794"/>
    <w:rsid w:val="4032E435"/>
    <w:rsid w:val="40DA1F01"/>
    <w:rsid w:val="42098E65"/>
    <w:rsid w:val="4275EF62"/>
    <w:rsid w:val="4585D6D7"/>
    <w:rsid w:val="488D49F7"/>
    <w:rsid w:val="48E530E6"/>
    <w:rsid w:val="4927EF25"/>
    <w:rsid w:val="4C054A87"/>
    <w:rsid w:val="4C6099A7"/>
    <w:rsid w:val="4CB6D729"/>
    <w:rsid w:val="4D60BB1A"/>
    <w:rsid w:val="4DB8A209"/>
    <w:rsid w:val="4E40E3B0"/>
    <w:rsid w:val="4E6C5F9F"/>
    <w:rsid w:val="4EE673C7"/>
    <w:rsid w:val="5218FE69"/>
    <w:rsid w:val="530CE58F"/>
    <w:rsid w:val="53942225"/>
    <w:rsid w:val="53B7EB89"/>
    <w:rsid w:val="54B09AFA"/>
    <w:rsid w:val="55B1CC82"/>
    <w:rsid w:val="55DDDAB3"/>
    <w:rsid w:val="5704F97E"/>
    <w:rsid w:val="57F7F44A"/>
    <w:rsid w:val="58AB5B47"/>
    <w:rsid w:val="58DDFB27"/>
    <w:rsid w:val="59FD39EA"/>
    <w:rsid w:val="5DE5A40A"/>
    <w:rsid w:val="5E5E8AAE"/>
    <w:rsid w:val="5FD41E19"/>
    <w:rsid w:val="60D8AE63"/>
    <w:rsid w:val="625CB00E"/>
    <w:rsid w:val="62F2967E"/>
    <w:rsid w:val="646D84C8"/>
    <w:rsid w:val="679D5914"/>
    <w:rsid w:val="68A6513D"/>
    <w:rsid w:val="69278847"/>
    <w:rsid w:val="69305866"/>
    <w:rsid w:val="69922D21"/>
    <w:rsid w:val="6A165F43"/>
    <w:rsid w:val="6A42219E"/>
    <w:rsid w:val="6AC358A8"/>
    <w:rsid w:val="6B4DB9DB"/>
    <w:rsid w:val="6C102518"/>
    <w:rsid w:val="6C9978C4"/>
    <w:rsid w:val="6CC913A8"/>
    <w:rsid w:val="6D10F4AC"/>
    <w:rsid w:val="6D2BA158"/>
    <w:rsid w:val="7163638D"/>
    <w:rsid w:val="71E6F19F"/>
    <w:rsid w:val="72A83A4F"/>
    <w:rsid w:val="73332B44"/>
    <w:rsid w:val="7403DCD4"/>
    <w:rsid w:val="74DECC4E"/>
    <w:rsid w:val="769CDDE6"/>
    <w:rsid w:val="779C8C14"/>
    <w:rsid w:val="7C078F20"/>
    <w:rsid w:val="7C55E278"/>
    <w:rsid w:val="7E195001"/>
    <w:rsid w:val="7E26457C"/>
    <w:rsid w:val="7F59DCA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F0928"/>
  <w15:chartTrackingRefBased/>
  <w15:docId w15:val="{D2841677-E4BA-4908-AF2C-D21837FA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B9"/>
  </w:style>
  <w:style w:type="paragraph" w:styleId="Heading1">
    <w:name w:val="heading 1"/>
    <w:basedOn w:val="Normal"/>
    <w:next w:val="Normal"/>
    <w:link w:val="Heading1Char"/>
    <w:uiPriority w:val="9"/>
    <w:qFormat/>
    <w:rsid w:val="009175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026E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217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F"/>
    <w:pPr>
      <w:tabs>
        <w:tab w:val="center" w:pos="4680"/>
        <w:tab w:val="right" w:pos="9360"/>
      </w:tabs>
    </w:pPr>
  </w:style>
  <w:style w:type="character" w:customStyle="1" w:styleId="HeaderChar">
    <w:name w:val="Header Char"/>
    <w:basedOn w:val="DefaultParagraphFont"/>
    <w:link w:val="Header"/>
    <w:uiPriority w:val="99"/>
    <w:rsid w:val="00F000FF"/>
  </w:style>
  <w:style w:type="paragraph" w:styleId="Footer">
    <w:name w:val="footer"/>
    <w:basedOn w:val="Normal"/>
    <w:link w:val="FooterChar"/>
    <w:uiPriority w:val="99"/>
    <w:unhideWhenUsed/>
    <w:rsid w:val="00F000FF"/>
    <w:pPr>
      <w:tabs>
        <w:tab w:val="center" w:pos="4680"/>
        <w:tab w:val="right" w:pos="9360"/>
      </w:tabs>
    </w:pPr>
  </w:style>
  <w:style w:type="character" w:customStyle="1" w:styleId="FooterChar">
    <w:name w:val="Footer Char"/>
    <w:basedOn w:val="DefaultParagraphFont"/>
    <w:link w:val="Footer"/>
    <w:uiPriority w:val="99"/>
    <w:rsid w:val="00F000FF"/>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列"/>
    <w:basedOn w:val="Normal"/>
    <w:link w:val="ListParagraphChar"/>
    <w:uiPriority w:val="34"/>
    <w:qFormat/>
    <w:rsid w:val="004D3BBC"/>
    <w:pPr>
      <w:ind w:left="720"/>
      <w:contextualSpacing/>
    </w:pPr>
  </w:style>
  <w:style w:type="character" w:styleId="Hyperlink">
    <w:name w:val="Hyperlink"/>
    <w:basedOn w:val="DefaultParagraphFont"/>
    <w:uiPriority w:val="99"/>
    <w:unhideWhenUsed/>
    <w:rsid w:val="0052322C"/>
    <w:rPr>
      <w:color w:val="0000FF"/>
      <w:u w:val="single"/>
    </w:rPr>
  </w:style>
  <w:style w:type="character" w:styleId="CommentReference">
    <w:name w:val="annotation reference"/>
    <w:basedOn w:val="DefaultParagraphFont"/>
    <w:uiPriority w:val="99"/>
    <w:semiHidden/>
    <w:unhideWhenUsed/>
    <w:rsid w:val="00FF1069"/>
    <w:rPr>
      <w:sz w:val="16"/>
      <w:szCs w:val="16"/>
    </w:rPr>
  </w:style>
  <w:style w:type="paragraph" w:styleId="CommentText">
    <w:name w:val="annotation text"/>
    <w:basedOn w:val="Normal"/>
    <w:link w:val="CommentTextChar"/>
    <w:uiPriority w:val="99"/>
    <w:unhideWhenUsed/>
    <w:rsid w:val="00FF1069"/>
    <w:rPr>
      <w:sz w:val="20"/>
      <w:szCs w:val="20"/>
    </w:rPr>
  </w:style>
  <w:style w:type="character" w:customStyle="1" w:styleId="CommentTextChar">
    <w:name w:val="Comment Text Char"/>
    <w:basedOn w:val="DefaultParagraphFont"/>
    <w:link w:val="CommentText"/>
    <w:uiPriority w:val="99"/>
    <w:rsid w:val="00FF1069"/>
    <w:rPr>
      <w:sz w:val="20"/>
      <w:szCs w:val="20"/>
    </w:rPr>
  </w:style>
  <w:style w:type="paragraph" w:styleId="CommentSubject">
    <w:name w:val="annotation subject"/>
    <w:basedOn w:val="CommentText"/>
    <w:next w:val="CommentText"/>
    <w:link w:val="CommentSubjectChar"/>
    <w:uiPriority w:val="99"/>
    <w:semiHidden/>
    <w:unhideWhenUsed/>
    <w:rsid w:val="00FF1069"/>
    <w:rPr>
      <w:b/>
      <w:bCs/>
    </w:rPr>
  </w:style>
  <w:style w:type="character" w:customStyle="1" w:styleId="CommentSubjectChar">
    <w:name w:val="Comment Subject Char"/>
    <w:basedOn w:val="CommentTextChar"/>
    <w:link w:val="CommentSubject"/>
    <w:uiPriority w:val="99"/>
    <w:semiHidden/>
    <w:rsid w:val="00FF1069"/>
    <w:rPr>
      <w:b/>
      <w:bCs/>
      <w:sz w:val="20"/>
      <w:szCs w:val="20"/>
    </w:rPr>
  </w:style>
  <w:style w:type="paragraph" w:styleId="BalloonText">
    <w:name w:val="Balloon Text"/>
    <w:basedOn w:val="Normal"/>
    <w:link w:val="BalloonTextChar"/>
    <w:uiPriority w:val="99"/>
    <w:semiHidden/>
    <w:unhideWhenUsed/>
    <w:rsid w:val="00FF1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69"/>
    <w:rPr>
      <w:rFonts w:ascii="Segoe UI" w:hAnsi="Segoe UI" w:cs="Segoe UI"/>
      <w:sz w:val="18"/>
      <w:szCs w:val="18"/>
    </w:rPr>
  </w:style>
  <w:style w:type="character" w:styleId="UnresolvedMention">
    <w:name w:val="Unresolved Mention"/>
    <w:basedOn w:val="DefaultParagraphFont"/>
    <w:uiPriority w:val="99"/>
    <w:semiHidden/>
    <w:unhideWhenUsed/>
    <w:rsid w:val="005A76B7"/>
    <w:rPr>
      <w:color w:val="605E5C"/>
      <w:shd w:val="clear" w:color="auto" w:fill="E1DFDD"/>
    </w:rPr>
  </w:style>
  <w:style w:type="paragraph" w:styleId="Revision">
    <w:name w:val="Revision"/>
    <w:hidden/>
    <w:uiPriority w:val="99"/>
    <w:semiHidden/>
    <w:rsid w:val="0002616D"/>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列 Char"/>
    <w:basedOn w:val="DefaultParagraphFont"/>
    <w:link w:val="ListParagraph"/>
    <w:uiPriority w:val="34"/>
    <w:qFormat/>
    <w:locked/>
    <w:rsid w:val="00C07214"/>
  </w:style>
  <w:style w:type="table" w:styleId="TableGrid">
    <w:name w:val="Table Grid"/>
    <w:basedOn w:val="TableNormal"/>
    <w:uiPriority w:val="39"/>
    <w:rsid w:val="000E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A37C6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91758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32176"/>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0026E3"/>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230066"/>
    <w:rPr>
      <w:rFonts w:ascii="Arial" w:hAnsi="Arial"/>
      <w:sz w:val="20"/>
      <w:szCs w:val="20"/>
    </w:rPr>
  </w:style>
  <w:style w:type="character" w:customStyle="1" w:styleId="EndnoteTextChar">
    <w:name w:val="Endnote Text Char"/>
    <w:basedOn w:val="DefaultParagraphFont"/>
    <w:link w:val="EndnoteText"/>
    <w:uiPriority w:val="99"/>
    <w:semiHidden/>
    <w:rsid w:val="00230066"/>
    <w:rPr>
      <w:rFonts w:ascii="Arial" w:hAnsi="Arial"/>
      <w:sz w:val="20"/>
      <w:szCs w:val="20"/>
    </w:rPr>
  </w:style>
  <w:style w:type="character" w:styleId="EndnoteReference">
    <w:name w:val="endnote reference"/>
    <w:basedOn w:val="DefaultParagraphFont"/>
    <w:uiPriority w:val="99"/>
    <w:semiHidden/>
    <w:unhideWhenUsed/>
    <w:rsid w:val="00230066"/>
    <w:rPr>
      <w:vertAlign w:val="superscript"/>
    </w:rPr>
  </w:style>
  <w:style w:type="character" w:styleId="FollowedHyperlink">
    <w:name w:val="FollowedHyperlink"/>
    <w:basedOn w:val="DefaultParagraphFont"/>
    <w:uiPriority w:val="99"/>
    <w:semiHidden/>
    <w:unhideWhenUsed/>
    <w:rsid w:val="00C22ED2"/>
    <w:rPr>
      <w:color w:val="954F72" w:themeColor="followedHyperlink"/>
      <w:u w:val="single"/>
    </w:rPr>
  </w:style>
  <w:style w:type="paragraph" w:styleId="FootnoteText">
    <w:name w:val="footnote text"/>
    <w:basedOn w:val="Normal"/>
    <w:link w:val="FootnoteTextChar"/>
    <w:uiPriority w:val="99"/>
    <w:semiHidden/>
    <w:unhideWhenUsed/>
    <w:rsid w:val="00B30C8E"/>
    <w:rPr>
      <w:rFonts w:ascii="Arial" w:hAnsi="Arial"/>
      <w:sz w:val="20"/>
      <w:szCs w:val="20"/>
    </w:rPr>
  </w:style>
  <w:style w:type="character" w:customStyle="1" w:styleId="FootnoteTextChar">
    <w:name w:val="Footnote Text Char"/>
    <w:basedOn w:val="DefaultParagraphFont"/>
    <w:link w:val="FootnoteText"/>
    <w:uiPriority w:val="99"/>
    <w:semiHidden/>
    <w:rsid w:val="00B30C8E"/>
    <w:rPr>
      <w:rFonts w:ascii="Arial" w:hAnsi="Arial"/>
      <w:sz w:val="20"/>
      <w:szCs w:val="20"/>
    </w:rPr>
  </w:style>
  <w:style w:type="character" w:styleId="FootnoteReference">
    <w:name w:val="footnote reference"/>
    <w:basedOn w:val="DefaultParagraphFont"/>
    <w:uiPriority w:val="99"/>
    <w:semiHidden/>
    <w:unhideWhenUsed/>
    <w:rsid w:val="00B30C8E"/>
    <w:rPr>
      <w:vertAlign w:val="superscript"/>
    </w:rPr>
  </w:style>
  <w:style w:type="table" w:customStyle="1" w:styleId="TableGrid1">
    <w:name w:val="Table Grid1"/>
    <w:basedOn w:val="TableNormal"/>
    <w:next w:val="TableGrid"/>
    <w:uiPriority w:val="39"/>
    <w:rsid w:val="00E90DC2"/>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76D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5086">
      <w:bodyDiv w:val="1"/>
      <w:marLeft w:val="0"/>
      <w:marRight w:val="0"/>
      <w:marTop w:val="0"/>
      <w:marBottom w:val="0"/>
      <w:divBdr>
        <w:top w:val="none" w:sz="0" w:space="0" w:color="auto"/>
        <w:left w:val="none" w:sz="0" w:space="0" w:color="auto"/>
        <w:bottom w:val="none" w:sz="0" w:space="0" w:color="auto"/>
        <w:right w:val="none" w:sz="0" w:space="0" w:color="auto"/>
      </w:divBdr>
    </w:div>
    <w:div w:id="793862901">
      <w:bodyDiv w:val="1"/>
      <w:marLeft w:val="0"/>
      <w:marRight w:val="0"/>
      <w:marTop w:val="0"/>
      <w:marBottom w:val="0"/>
      <w:divBdr>
        <w:top w:val="none" w:sz="0" w:space="0" w:color="auto"/>
        <w:left w:val="none" w:sz="0" w:space="0" w:color="auto"/>
        <w:bottom w:val="none" w:sz="0" w:space="0" w:color="auto"/>
        <w:right w:val="none" w:sz="0" w:space="0" w:color="auto"/>
      </w:divBdr>
    </w:div>
    <w:div w:id="856768727">
      <w:bodyDiv w:val="1"/>
      <w:marLeft w:val="0"/>
      <w:marRight w:val="0"/>
      <w:marTop w:val="0"/>
      <w:marBottom w:val="0"/>
      <w:divBdr>
        <w:top w:val="none" w:sz="0" w:space="0" w:color="auto"/>
        <w:left w:val="none" w:sz="0" w:space="0" w:color="auto"/>
        <w:bottom w:val="none" w:sz="0" w:space="0" w:color="auto"/>
        <w:right w:val="none" w:sz="0" w:space="0" w:color="auto"/>
      </w:divBdr>
    </w:div>
    <w:div w:id="880358092">
      <w:bodyDiv w:val="1"/>
      <w:marLeft w:val="0"/>
      <w:marRight w:val="0"/>
      <w:marTop w:val="0"/>
      <w:marBottom w:val="0"/>
      <w:divBdr>
        <w:top w:val="none" w:sz="0" w:space="0" w:color="auto"/>
        <w:left w:val="none" w:sz="0" w:space="0" w:color="auto"/>
        <w:bottom w:val="none" w:sz="0" w:space="0" w:color="auto"/>
        <w:right w:val="none" w:sz="0" w:space="0" w:color="auto"/>
      </w:divBdr>
    </w:div>
    <w:div w:id="1476988771">
      <w:bodyDiv w:val="1"/>
      <w:marLeft w:val="0"/>
      <w:marRight w:val="0"/>
      <w:marTop w:val="0"/>
      <w:marBottom w:val="0"/>
      <w:divBdr>
        <w:top w:val="none" w:sz="0" w:space="0" w:color="auto"/>
        <w:left w:val="none" w:sz="0" w:space="0" w:color="auto"/>
        <w:bottom w:val="none" w:sz="0" w:space="0" w:color="auto"/>
        <w:right w:val="none" w:sz="0" w:space="0" w:color="auto"/>
      </w:divBdr>
    </w:div>
    <w:div w:id="1521354869">
      <w:bodyDiv w:val="1"/>
      <w:marLeft w:val="0"/>
      <w:marRight w:val="0"/>
      <w:marTop w:val="0"/>
      <w:marBottom w:val="0"/>
      <w:divBdr>
        <w:top w:val="none" w:sz="0" w:space="0" w:color="auto"/>
        <w:left w:val="none" w:sz="0" w:space="0" w:color="auto"/>
        <w:bottom w:val="none" w:sz="0" w:space="0" w:color="auto"/>
        <w:right w:val="none" w:sz="0" w:space="0" w:color="auto"/>
      </w:divBdr>
    </w:div>
    <w:div w:id="20655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yda.org.au/resources/details/346/submission-to-the-disability-royal-commission-targeted-engagement-with-young-people-with-disa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unsw.edu.au/research/sprc/our-projects/growing-up-making-decisions" TargetMode="External"/><Relationship Id="rId10" Type="http://schemas.openxmlformats.org/officeDocument/2006/relationships/hyperlink" Target="mailto:lizhudson@cyd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ildsafety.gov.au/resources/national-principles-child-safe-organisations-consultation-report-children-and-young-people-disabil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poa.org.au/violence-abuse-exploitation-neglect-people-disability-australia-available-data-march-2019/violence-against-people-with-disability_dpoa_march-2019/" TargetMode="External"/><Relationship Id="rId2" Type="http://schemas.openxmlformats.org/officeDocument/2006/relationships/hyperlink" Target="https://aifs.gov.au/cfca/publications/understanding-safeguarding-practices-children-disability-when-engaging" TargetMode="External"/><Relationship Id="rId1" Type="http://schemas.openxmlformats.org/officeDocument/2006/relationships/hyperlink" Target="https://objects.storage.unimelb.edu.au/2016UOM009:figshare/24753587/YoungPplViolenceDisabilityFactSheet.pdf" TargetMode="External"/><Relationship Id="rId4" Type="http://schemas.openxmlformats.org/officeDocument/2006/relationships/hyperlink" Target="https://www.childsafety.gov.au/resources/national-principles-child-safe-organis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n\AppData\Local\Microsoft\Windows\INetCache\Content.Outlook\NFN7WPUQ\CYDA%20Letterhead_Master%20Templa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1185A-BDE4-4555-866A-DC5BD4298664}">
  <ds:schemaRefs>
    <ds:schemaRef ds:uri="http://schemas.microsoft.com/sharepoint/v3/contenttype/forms"/>
  </ds:schemaRefs>
</ds:datastoreItem>
</file>

<file path=customXml/itemProps2.xml><?xml version="1.0" encoding="utf-8"?>
<ds:datastoreItem xmlns:ds="http://schemas.openxmlformats.org/officeDocument/2006/customXml" ds:itemID="{609A8374-B5F3-4487-81CF-532AA51494D3}">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3.xml><?xml version="1.0" encoding="utf-8"?>
<ds:datastoreItem xmlns:ds="http://schemas.openxmlformats.org/officeDocument/2006/customXml" ds:itemID="{888B106A-1848-4A52-A7D2-92D4A278F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C:\Users\ellin\AppData\Local\Microsoft\Windows\INetCache\Content.Outlook\NFN7WPUQ\CYDA Letterhead_Master Template_2020.dotx</Template>
  <TotalTime>1</TotalTime>
  <Pages>14</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Links>
    <vt:vector size="48" baseType="variant">
      <vt:variant>
        <vt:i4>1835011</vt:i4>
      </vt:variant>
      <vt:variant>
        <vt:i4>12</vt:i4>
      </vt:variant>
      <vt:variant>
        <vt:i4>0</vt:i4>
      </vt:variant>
      <vt:variant>
        <vt:i4>5</vt:i4>
      </vt:variant>
      <vt:variant>
        <vt:lpwstr>https://www.unsw.edu.au/research/sprc/our-projects/growing-up-making-decisions</vt:lpwstr>
      </vt:variant>
      <vt:variant>
        <vt:lpwstr>:~:text=This%20project%20aimed%20to%20better,the%20Rights%20of%20Persons%20with</vt:lpwstr>
      </vt:variant>
      <vt:variant>
        <vt:i4>7667766</vt:i4>
      </vt:variant>
      <vt:variant>
        <vt:i4>9</vt:i4>
      </vt:variant>
      <vt:variant>
        <vt:i4>0</vt:i4>
      </vt:variant>
      <vt:variant>
        <vt:i4>5</vt:i4>
      </vt:variant>
      <vt:variant>
        <vt:lpwstr>https://www.childsafety.gov.au/resources/national-principles-child-safe-organisations-consultation-report-children-and-young-people-disability</vt:lpwstr>
      </vt:variant>
      <vt:variant>
        <vt:lpwstr/>
      </vt:variant>
      <vt:variant>
        <vt:i4>1310733</vt:i4>
      </vt:variant>
      <vt:variant>
        <vt:i4>6</vt:i4>
      </vt:variant>
      <vt:variant>
        <vt:i4>0</vt:i4>
      </vt:variant>
      <vt:variant>
        <vt:i4>5</vt:i4>
      </vt:variant>
      <vt:variant>
        <vt:lpwstr>https://cyda.org.au/resources/details/346/submission-to-the-disability-royal-commission-targeted-engagement-with-young-people-with-disability</vt:lpwstr>
      </vt:variant>
      <vt:variant>
        <vt:lpwstr/>
      </vt:variant>
      <vt:variant>
        <vt:i4>1835121</vt:i4>
      </vt:variant>
      <vt:variant>
        <vt:i4>3</vt:i4>
      </vt:variant>
      <vt:variant>
        <vt:i4>0</vt:i4>
      </vt:variant>
      <vt:variant>
        <vt:i4>5</vt:i4>
      </vt:variant>
      <vt:variant>
        <vt:lpwstr>mailto:lizhudson@cyda.org.au</vt:lpwstr>
      </vt:variant>
      <vt:variant>
        <vt:lpwstr/>
      </vt:variant>
      <vt:variant>
        <vt:i4>4849749</vt:i4>
      </vt:variant>
      <vt:variant>
        <vt:i4>9</vt:i4>
      </vt:variant>
      <vt:variant>
        <vt:i4>0</vt:i4>
      </vt:variant>
      <vt:variant>
        <vt:i4>5</vt:i4>
      </vt:variant>
      <vt:variant>
        <vt:lpwstr>https://www.childsafety.gov.au/resources/national-principles-child-safe-organisations</vt:lpwstr>
      </vt:variant>
      <vt:variant>
        <vt:lpwstr/>
      </vt:variant>
      <vt:variant>
        <vt:i4>327756</vt:i4>
      </vt:variant>
      <vt:variant>
        <vt:i4>6</vt:i4>
      </vt:variant>
      <vt:variant>
        <vt:i4>0</vt:i4>
      </vt:variant>
      <vt:variant>
        <vt:i4>5</vt:i4>
      </vt:variant>
      <vt:variant>
        <vt:lpwstr>https://dpoa.org.au/violence-abuse-exploitation-neglect-people-disability-australia-available-data-march-2019/violence-against-people-with-disability_dpoa_march-2019/</vt:lpwstr>
      </vt:variant>
      <vt:variant>
        <vt:lpwstr/>
      </vt:variant>
      <vt:variant>
        <vt:i4>5111878</vt:i4>
      </vt:variant>
      <vt:variant>
        <vt:i4>3</vt:i4>
      </vt:variant>
      <vt:variant>
        <vt:i4>0</vt:i4>
      </vt:variant>
      <vt:variant>
        <vt:i4>5</vt:i4>
      </vt:variant>
      <vt:variant>
        <vt:lpwstr>https://aifs.gov.au/cfca/publications/understanding-safeguarding-practices-children-disability-when-engaging</vt:lpwstr>
      </vt:variant>
      <vt:variant>
        <vt:lpwstr/>
      </vt:variant>
      <vt:variant>
        <vt:i4>6488097</vt:i4>
      </vt:variant>
      <vt:variant>
        <vt:i4>0</vt:i4>
      </vt:variant>
      <vt:variant>
        <vt:i4>0</vt:i4>
      </vt:variant>
      <vt:variant>
        <vt:i4>5</vt:i4>
      </vt:variant>
      <vt:variant>
        <vt:lpwstr>https://objects.storage.unimelb.edu.au/2016UOM009:figshare/24753587/YoungPplViolenceDisabilityFactSheet.pdf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dc:description/>
  <cp:lastModifiedBy>Naomi Chainey</cp:lastModifiedBy>
  <cp:revision>2</cp:revision>
  <cp:lastPrinted>2023-07-03T23:57:00Z</cp:lastPrinted>
  <dcterms:created xsi:type="dcterms:W3CDTF">2023-09-01T02:47:00Z</dcterms:created>
  <dcterms:modified xsi:type="dcterms:W3CDTF">2023-09-01T02:47:00Z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