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D6E1F" w14:textId="5716923F" w:rsidR="002F79B2" w:rsidRPr="002F79B2" w:rsidRDefault="007A5AAF" w:rsidP="002F79B2">
      <w:pPr>
        <w:jc w:val="center"/>
        <w:rPr>
          <w:b/>
          <w:bCs/>
          <w:u w:val="single"/>
        </w:rPr>
      </w:pPr>
      <w:r w:rsidRPr="002F79B2">
        <w:rPr>
          <w:b/>
          <w:bCs/>
          <w:u w:val="single"/>
        </w:rPr>
        <w:t>Disability Royal Commission 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1431"/>
        <w:gridCol w:w="1476"/>
        <w:gridCol w:w="1480"/>
        <w:gridCol w:w="1477"/>
        <w:gridCol w:w="1470"/>
        <w:gridCol w:w="1474"/>
        <w:gridCol w:w="1473"/>
        <w:gridCol w:w="1474"/>
      </w:tblGrid>
      <w:tr w:rsidR="000673E8" w14:paraId="462E8F6B" w14:textId="77777777" w:rsidTr="00DE59EF">
        <w:trPr>
          <w:trHeight w:val="349"/>
          <w:tblHeader/>
        </w:trPr>
        <w:tc>
          <w:tcPr>
            <w:tcW w:w="2193" w:type="dxa"/>
            <w:shd w:val="clear" w:color="auto" w:fill="FFCC99"/>
          </w:tcPr>
          <w:p w14:paraId="6A4982E0" w14:textId="74011BA5" w:rsidR="007A5AAF" w:rsidRPr="007A5AAF" w:rsidRDefault="007A5AAF">
            <w:pPr>
              <w:rPr>
                <w:b/>
                <w:bCs/>
              </w:rPr>
            </w:pPr>
            <w:r w:rsidRPr="007A5AAF">
              <w:rPr>
                <w:b/>
                <w:bCs/>
              </w:rPr>
              <w:t xml:space="preserve">Recommendation </w:t>
            </w:r>
          </w:p>
        </w:tc>
        <w:tc>
          <w:tcPr>
            <w:tcW w:w="1431" w:type="dxa"/>
            <w:shd w:val="clear" w:color="auto" w:fill="FFCC99"/>
          </w:tcPr>
          <w:p w14:paraId="212EACEF" w14:textId="4C1F14CC" w:rsidR="007A5AAF" w:rsidRPr="007A5AAF" w:rsidRDefault="007A5AAF">
            <w:pPr>
              <w:rPr>
                <w:b/>
                <w:bCs/>
              </w:rPr>
            </w:pPr>
            <w:r w:rsidRPr="007A5AAF">
              <w:rPr>
                <w:b/>
                <w:bCs/>
              </w:rPr>
              <w:t>Federal</w:t>
            </w:r>
          </w:p>
        </w:tc>
        <w:tc>
          <w:tcPr>
            <w:tcW w:w="1476" w:type="dxa"/>
            <w:shd w:val="clear" w:color="auto" w:fill="FFCC99"/>
          </w:tcPr>
          <w:p w14:paraId="16AD1356" w14:textId="4AC2A9EC" w:rsidR="007A5AAF" w:rsidRPr="007A5AAF" w:rsidRDefault="007A5AAF">
            <w:pPr>
              <w:rPr>
                <w:b/>
                <w:bCs/>
              </w:rPr>
            </w:pPr>
            <w:r w:rsidRPr="007A5AAF">
              <w:rPr>
                <w:b/>
                <w:bCs/>
              </w:rPr>
              <w:t>ACT</w:t>
            </w:r>
          </w:p>
        </w:tc>
        <w:tc>
          <w:tcPr>
            <w:tcW w:w="1480" w:type="dxa"/>
            <w:shd w:val="clear" w:color="auto" w:fill="FFCC99"/>
          </w:tcPr>
          <w:p w14:paraId="08CB7ACD" w14:textId="46CDEF7F" w:rsidR="007A5AAF" w:rsidRPr="007A5AAF" w:rsidRDefault="007A5AAF">
            <w:pPr>
              <w:rPr>
                <w:b/>
                <w:bCs/>
              </w:rPr>
            </w:pPr>
            <w:r w:rsidRPr="007A5AAF">
              <w:rPr>
                <w:b/>
                <w:bCs/>
              </w:rPr>
              <w:t>NSW</w:t>
            </w:r>
          </w:p>
        </w:tc>
        <w:tc>
          <w:tcPr>
            <w:tcW w:w="1477" w:type="dxa"/>
            <w:shd w:val="clear" w:color="auto" w:fill="FFCC99"/>
          </w:tcPr>
          <w:p w14:paraId="0132B290" w14:textId="4B37B723" w:rsidR="007A5AAF" w:rsidRPr="007A5AAF" w:rsidRDefault="007A5AAF">
            <w:pPr>
              <w:rPr>
                <w:b/>
                <w:bCs/>
              </w:rPr>
            </w:pPr>
            <w:r w:rsidRPr="007A5AAF">
              <w:rPr>
                <w:b/>
                <w:bCs/>
              </w:rPr>
              <w:t>QLD</w:t>
            </w:r>
          </w:p>
        </w:tc>
        <w:tc>
          <w:tcPr>
            <w:tcW w:w="1470" w:type="dxa"/>
            <w:shd w:val="clear" w:color="auto" w:fill="FFCC99"/>
          </w:tcPr>
          <w:p w14:paraId="10F8F89C" w14:textId="58CE2F63" w:rsidR="007A5AAF" w:rsidRPr="007A5AAF" w:rsidRDefault="007A5AAF">
            <w:pPr>
              <w:rPr>
                <w:b/>
                <w:bCs/>
              </w:rPr>
            </w:pPr>
            <w:r w:rsidRPr="007A5AAF">
              <w:rPr>
                <w:b/>
                <w:bCs/>
              </w:rPr>
              <w:t>SA</w:t>
            </w:r>
          </w:p>
        </w:tc>
        <w:tc>
          <w:tcPr>
            <w:tcW w:w="1474" w:type="dxa"/>
            <w:shd w:val="clear" w:color="auto" w:fill="FFCC99"/>
          </w:tcPr>
          <w:p w14:paraId="3A66384A" w14:textId="12317988" w:rsidR="007A5AAF" w:rsidRPr="007A5AAF" w:rsidRDefault="007A5AAF">
            <w:pPr>
              <w:rPr>
                <w:b/>
                <w:bCs/>
              </w:rPr>
            </w:pPr>
            <w:r w:rsidRPr="007A5AAF">
              <w:rPr>
                <w:b/>
                <w:bCs/>
              </w:rPr>
              <w:t>TAS</w:t>
            </w:r>
          </w:p>
        </w:tc>
        <w:tc>
          <w:tcPr>
            <w:tcW w:w="1473" w:type="dxa"/>
            <w:shd w:val="clear" w:color="auto" w:fill="FFCC99"/>
          </w:tcPr>
          <w:p w14:paraId="7E8A3606" w14:textId="51946241" w:rsidR="007A5AAF" w:rsidRPr="007A5AAF" w:rsidRDefault="007A5AAF">
            <w:pPr>
              <w:rPr>
                <w:b/>
                <w:bCs/>
              </w:rPr>
            </w:pPr>
            <w:r w:rsidRPr="007A5AAF">
              <w:rPr>
                <w:b/>
                <w:bCs/>
              </w:rPr>
              <w:t>VIC</w:t>
            </w:r>
          </w:p>
        </w:tc>
        <w:tc>
          <w:tcPr>
            <w:tcW w:w="1474" w:type="dxa"/>
            <w:shd w:val="clear" w:color="auto" w:fill="FFCC99"/>
          </w:tcPr>
          <w:p w14:paraId="1747831C" w14:textId="04A3804D" w:rsidR="007A5AAF" w:rsidRPr="007A5AAF" w:rsidRDefault="007A5AAF">
            <w:pPr>
              <w:rPr>
                <w:b/>
                <w:bCs/>
              </w:rPr>
            </w:pPr>
            <w:r w:rsidRPr="007A5AAF">
              <w:rPr>
                <w:b/>
                <w:bCs/>
              </w:rPr>
              <w:t>WA</w:t>
            </w:r>
          </w:p>
        </w:tc>
      </w:tr>
      <w:tr w:rsidR="00660964" w14:paraId="585E0314" w14:textId="77777777" w:rsidTr="00DE59EF">
        <w:trPr>
          <w:trHeight w:val="349"/>
        </w:trPr>
        <w:tc>
          <w:tcPr>
            <w:tcW w:w="2193" w:type="dxa"/>
            <w:shd w:val="clear" w:color="auto" w:fill="CCFF99"/>
          </w:tcPr>
          <w:p w14:paraId="165ACCC3" w14:textId="69FF863D" w:rsidR="00ED0EC4" w:rsidRPr="007A5AAF" w:rsidRDefault="00ED0EC4">
            <w:pPr>
              <w:rPr>
                <w:b/>
                <w:bCs/>
              </w:rPr>
            </w:pPr>
            <w:r>
              <w:rPr>
                <w:b/>
                <w:bCs/>
              </w:rPr>
              <w:t>Education</w:t>
            </w:r>
          </w:p>
        </w:tc>
        <w:tc>
          <w:tcPr>
            <w:tcW w:w="1431" w:type="dxa"/>
            <w:shd w:val="clear" w:color="auto" w:fill="CCFF99"/>
          </w:tcPr>
          <w:p w14:paraId="346E0804" w14:textId="77777777" w:rsidR="00ED0EC4" w:rsidRPr="007A5AAF" w:rsidRDefault="00ED0EC4">
            <w:pPr>
              <w:rPr>
                <w:b/>
                <w:bCs/>
              </w:rPr>
            </w:pPr>
          </w:p>
        </w:tc>
        <w:tc>
          <w:tcPr>
            <w:tcW w:w="1476" w:type="dxa"/>
            <w:shd w:val="clear" w:color="auto" w:fill="CCFF99"/>
          </w:tcPr>
          <w:p w14:paraId="7C365D9D" w14:textId="77777777" w:rsidR="00ED0EC4" w:rsidRPr="007A5AAF" w:rsidRDefault="00ED0EC4">
            <w:pPr>
              <w:rPr>
                <w:b/>
                <w:bCs/>
              </w:rPr>
            </w:pPr>
          </w:p>
        </w:tc>
        <w:tc>
          <w:tcPr>
            <w:tcW w:w="1480" w:type="dxa"/>
            <w:shd w:val="clear" w:color="auto" w:fill="CCFF99"/>
          </w:tcPr>
          <w:p w14:paraId="4CB239E9" w14:textId="77777777" w:rsidR="00ED0EC4" w:rsidRPr="007A5AAF" w:rsidRDefault="00ED0EC4">
            <w:pPr>
              <w:rPr>
                <w:b/>
                <w:bCs/>
              </w:rPr>
            </w:pPr>
          </w:p>
        </w:tc>
        <w:tc>
          <w:tcPr>
            <w:tcW w:w="1477" w:type="dxa"/>
            <w:shd w:val="clear" w:color="auto" w:fill="CCFF99"/>
          </w:tcPr>
          <w:p w14:paraId="6C646C72" w14:textId="77777777" w:rsidR="00ED0EC4" w:rsidRPr="007A5AAF" w:rsidRDefault="00ED0EC4">
            <w:pPr>
              <w:rPr>
                <w:b/>
                <w:bCs/>
              </w:rPr>
            </w:pPr>
          </w:p>
        </w:tc>
        <w:tc>
          <w:tcPr>
            <w:tcW w:w="1470" w:type="dxa"/>
            <w:shd w:val="clear" w:color="auto" w:fill="CCFF99"/>
          </w:tcPr>
          <w:p w14:paraId="63A13238" w14:textId="77777777" w:rsidR="00ED0EC4" w:rsidRPr="007A5AAF" w:rsidRDefault="00ED0EC4">
            <w:pPr>
              <w:rPr>
                <w:b/>
                <w:bCs/>
              </w:rPr>
            </w:pPr>
          </w:p>
        </w:tc>
        <w:tc>
          <w:tcPr>
            <w:tcW w:w="1474" w:type="dxa"/>
            <w:shd w:val="clear" w:color="auto" w:fill="CCFF99"/>
          </w:tcPr>
          <w:p w14:paraId="3A108242" w14:textId="77777777" w:rsidR="00ED0EC4" w:rsidRPr="007A5AAF" w:rsidRDefault="00ED0EC4">
            <w:pPr>
              <w:rPr>
                <w:b/>
                <w:bCs/>
              </w:rPr>
            </w:pPr>
          </w:p>
        </w:tc>
        <w:tc>
          <w:tcPr>
            <w:tcW w:w="1473" w:type="dxa"/>
            <w:shd w:val="clear" w:color="auto" w:fill="CCFF99"/>
          </w:tcPr>
          <w:p w14:paraId="2661F7BE" w14:textId="77777777" w:rsidR="00ED0EC4" w:rsidRPr="007A5AAF" w:rsidRDefault="00ED0EC4">
            <w:pPr>
              <w:rPr>
                <w:b/>
                <w:bCs/>
              </w:rPr>
            </w:pPr>
          </w:p>
        </w:tc>
        <w:tc>
          <w:tcPr>
            <w:tcW w:w="1474" w:type="dxa"/>
            <w:shd w:val="clear" w:color="auto" w:fill="CCFF99"/>
          </w:tcPr>
          <w:p w14:paraId="1769FEBB" w14:textId="77777777" w:rsidR="00ED0EC4" w:rsidRPr="007A5AAF" w:rsidRDefault="00ED0EC4">
            <w:pPr>
              <w:rPr>
                <w:b/>
                <w:bCs/>
              </w:rPr>
            </w:pPr>
          </w:p>
        </w:tc>
      </w:tr>
      <w:tr w:rsidR="00660964" w14:paraId="33494547" w14:textId="77777777" w:rsidTr="00DE59EF">
        <w:trPr>
          <w:trHeight w:val="349"/>
        </w:trPr>
        <w:tc>
          <w:tcPr>
            <w:tcW w:w="2193" w:type="dxa"/>
          </w:tcPr>
          <w:p w14:paraId="2895CE87" w14:textId="140B82E4" w:rsidR="004F6417" w:rsidRPr="00102E3D" w:rsidRDefault="004F6417">
            <w:pPr>
              <w:rPr>
                <w:b/>
                <w:bCs/>
              </w:rPr>
            </w:pPr>
            <w:r w:rsidRPr="00102E3D">
              <w:rPr>
                <w:b/>
                <w:bCs/>
              </w:rPr>
              <w:t>7.1: Provide equal access to mainstream education and enrolment</w:t>
            </w:r>
          </w:p>
        </w:tc>
        <w:tc>
          <w:tcPr>
            <w:tcW w:w="1431" w:type="dxa"/>
          </w:tcPr>
          <w:p w14:paraId="1620C725" w14:textId="7C960F3A" w:rsidR="004F6417" w:rsidRPr="0079659D" w:rsidRDefault="0079659D">
            <w:r w:rsidRPr="0079659D">
              <w:t>St</w:t>
            </w:r>
            <w:r>
              <w:t>ate responsibility</w:t>
            </w:r>
          </w:p>
        </w:tc>
        <w:tc>
          <w:tcPr>
            <w:tcW w:w="1476" w:type="dxa"/>
          </w:tcPr>
          <w:p w14:paraId="02848F77" w14:textId="0488F6F2" w:rsidR="004F6417" w:rsidRPr="0079659D" w:rsidRDefault="050A77C2">
            <w:r>
              <w:t>Accept</w:t>
            </w:r>
          </w:p>
        </w:tc>
        <w:tc>
          <w:tcPr>
            <w:tcW w:w="1480" w:type="dxa"/>
          </w:tcPr>
          <w:p w14:paraId="32808479" w14:textId="14993B8F" w:rsidR="004F6417" w:rsidRPr="0079659D" w:rsidRDefault="3EA91938">
            <w:r>
              <w:t>Accept in part</w:t>
            </w:r>
          </w:p>
        </w:tc>
        <w:tc>
          <w:tcPr>
            <w:tcW w:w="1477" w:type="dxa"/>
          </w:tcPr>
          <w:p w14:paraId="0766F14D" w14:textId="25D031DA" w:rsidR="004F6417" w:rsidRPr="0079659D" w:rsidRDefault="00361DBD">
            <w:r>
              <w:t>Accept in principle</w:t>
            </w:r>
          </w:p>
        </w:tc>
        <w:tc>
          <w:tcPr>
            <w:tcW w:w="1470" w:type="dxa"/>
          </w:tcPr>
          <w:p w14:paraId="1343CB33" w14:textId="74FC6B04" w:rsidR="004F6417" w:rsidRPr="0079659D" w:rsidRDefault="00322FE7">
            <w:r>
              <w:t>Accept in principle</w:t>
            </w:r>
          </w:p>
        </w:tc>
        <w:tc>
          <w:tcPr>
            <w:tcW w:w="1474" w:type="dxa"/>
          </w:tcPr>
          <w:p w14:paraId="2AD72E28" w14:textId="12A26567" w:rsidR="004F6417" w:rsidRPr="0079659D" w:rsidRDefault="00322FE7">
            <w:r>
              <w:t>Accept in principle</w:t>
            </w:r>
          </w:p>
        </w:tc>
        <w:tc>
          <w:tcPr>
            <w:tcW w:w="1473" w:type="dxa"/>
          </w:tcPr>
          <w:p w14:paraId="076D9A79" w14:textId="1BD60B40" w:rsidR="004F6417" w:rsidRPr="0079659D" w:rsidRDefault="5E35F78E">
            <w:r>
              <w:t>Accept in principle</w:t>
            </w:r>
          </w:p>
          <w:p w14:paraId="1C128B13" w14:textId="603C2B87" w:rsidR="004F6417" w:rsidRPr="0079659D" w:rsidRDefault="004F6417"/>
        </w:tc>
        <w:tc>
          <w:tcPr>
            <w:tcW w:w="1474" w:type="dxa"/>
          </w:tcPr>
          <w:p w14:paraId="0E6E29E1" w14:textId="580468BE" w:rsidR="004F6417" w:rsidRPr="0079659D" w:rsidRDefault="28528BA3">
            <w:r>
              <w:t xml:space="preserve">Accept in </w:t>
            </w:r>
            <w:r w:rsidR="508C75F1">
              <w:t>principle</w:t>
            </w:r>
          </w:p>
        </w:tc>
      </w:tr>
      <w:tr w:rsidR="00660964" w14:paraId="64D6EBD7" w14:textId="77777777" w:rsidTr="00DE59EF">
        <w:trPr>
          <w:trHeight w:val="349"/>
        </w:trPr>
        <w:tc>
          <w:tcPr>
            <w:tcW w:w="2193" w:type="dxa"/>
          </w:tcPr>
          <w:p w14:paraId="3602E41F" w14:textId="064A9C9C" w:rsidR="007A5AAF" w:rsidRPr="00102E3D" w:rsidRDefault="007A5AAF">
            <w:pPr>
              <w:rPr>
                <w:b/>
                <w:bCs/>
              </w:rPr>
            </w:pPr>
            <w:r w:rsidRPr="00102E3D">
              <w:rPr>
                <w:b/>
                <w:bCs/>
              </w:rPr>
              <w:t>7.2</w:t>
            </w:r>
            <w:r w:rsidR="00102E3D">
              <w:rPr>
                <w:b/>
                <w:bCs/>
              </w:rPr>
              <w:t>:</w:t>
            </w:r>
            <w:r w:rsidRPr="00102E3D">
              <w:rPr>
                <w:b/>
                <w:bCs/>
              </w:rPr>
              <w:t xml:space="preserve"> Prevent the inappropriate use of exclusionary discipline </w:t>
            </w:r>
          </w:p>
        </w:tc>
        <w:tc>
          <w:tcPr>
            <w:tcW w:w="1431" w:type="dxa"/>
          </w:tcPr>
          <w:p w14:paraId="27F6385A" w14:textId="08C07E05" w:rsidR="007A5AAF" w:rsidRDefault="007A5AAF">
            <w:r>
              <w:t>Accept in principle</w:t>
            </w:r>
          </w:p>
        </w:tc>
        <w:tc>
          <w:tcPr>
            <w:tcW w:w="1476" w:type="dxa"/>
          </w:tcPr>
          <w:p w14:paraId="332F2EC3" w14:textId="1BD60B40" w:rsidR="007A5AAF" w:rsidRDefault="583B8D46">
            <w:r>
              <w:t>Accept in principle</w:t>
            </w:r>
          </w:p>
          <w:p w14:paraId="2BDCAC4A" w14:textId="76C25BB4" w:rsidR="007A5AAF" w:rsidRDefault="007A5AAF"/>
        </w:tc>
        <w:tc>
          <w:tcPr>
            <w:tcW w:w="1480" w:type="dxa"/>
          </w:tcPr>
          <w:p w14:paraId="4BCA5352" w14:textId="09A2C72E" w:rsidR="007A5AAF" w:rsidRDefault="5E969018">
            <w:r>
              <w:t xml:space="preserve">Accept in principle </w:t>
            </w:r>
          </w:p>
        </w:tc>
        <w:tc>
          <w:tcPr>
            <w:tcW w:w="1477" w:type="dxa"/>
          </w:tcPr>
          <w:p w14:paraId="2BEB52B9" w14:textId="7A0784B9" w:rsidR="007A5AAF" w:rsidRDefault="00692712">
            <w:r>
              <w:t>Accept in principle</w:t>
            </w:r>
          </w:p>
        </w:tc>
        <w:tc>
          <w:tcPr>
            <w:tcW w:w="1470" w:type="dxa"/>
          </w:tcPr>
          <w:p w14:paraId="7DD14631" w14:textId="51A8E6D5" w:rsidR="007A5AAF" w:rsidRDefault="007B026A">
            <w:r>
              <w:t>Accept in principle</w:t>
            </w:r>
          </w:p>
        </w:tc>
        <w:tc>
          <w:tcPr>
            <w:tcW w:w="1474" w:type="dxa"/>
          </w:tcPr>
          <w:p w14:paraId="607EAE79" w14:textId="1F02C0A0" w:rsidR="007A5AAF" w:rsidRDefault="00B51A03">
            <w:r>
              <w:t>Accept in principle</w:t>
            </w:r>
          </w:p>
        </w:tc>
        <w:tc>
          <w:tcPr>
            <w:tcW w:w="1473" w:type="dxa"/>
          </w:tcPr>
          <w:p w14:paraId="33B6B00C" w14:textId="1BD60B40" w:rsidR="007A5AAF" w:rsidRDefault="07C198D6">
            <w:r>
              <w:t>Accept in principle</w:t>
            </w:r>
          </w:p>
          <w:p w14:paraId="76F84EB7" w14:textId="470A3F42" w:rsidR="007A5AAF" w:rsidRDefault="007A5AAF"/>
        </w:tc>
        <w:tc>
          <w:tcPr>
            <w:tcW w:w="1474" w:type="dxa"/>
          </w:tcPr>
          <w:p w14:paraId="2EF0BEDD" w14:textId="1BD60B40" w:rsidR="007A5AAF" w:rsidRDefault="508C75F1">
            <w:r>
              <w:t>Accept in principle</w:t>
            </w:r>
          </w:p>
        </w:tc>
      </w:tr>
      <w:tr w:rsidR="00660964" w14:paraId="11626D8B" w14:textId="77777777" w:rsidTr="00DE59EF">
        <w:trPr>
          <w:trHeight w:val="349"/>
        </w:trPr>
        <w:tc>
          <w:tcPr>
            <w:tcW w:w="2193" w:type="dxa"/>
          </w:tcPr>
          <w:p w14:paraId="42A70F67" w14:textId="7766B4E8" w:rsidR="007A5AAF" w:rsidRPr="00102E3D" w:rsidRDefault="007A5AAF">
            <w:pPr>
              <w:rPr>
                <w:b/>
                <w:bCs/>
              </w:rPr>
            </w:pPr>
            <w:r w:rsidRPr="00102E3D">
              <w:rPr>
                <w:b/>
                <w:bCs/>
              </w:rPr>
              <w:t>7.3</w:t>
            </w:r>
            <w:r w:rsidR="00102E3D">
              <w:rPr>
                <w:b/>
                <w:bCs/>
              </w:rPr>
              <w:t>:</w:t>
            </w:r>
            <w:r w:rsidRPr="00102E3D">
              <w:rPr>
                <w:b/>
                <w:bCs/>
              </w:rPr>
              <w:t xml:space="preserve"> Improve policies and procedures on the provision of reasonable adjustments</w:t>
            </w:r>
          </w:p>
        </w:tc>
        <w:tc>
          <w:tcPr>
            <w:tcW w:w="1431" w:type="dxa"/>
          </w:tcPr>
          <w:p w14:paraId="1E06C9BF" w14:textId="5BAF3984" w:rsidR="007A5AAF" w:rsidRDefault="007A5AAF">
            <w:r>
              <w:t>Accept in principle</w:t>
            </w:r>
          </w:p>
        </w:tc>
        <w:tc>
          <w:tcPr>
            <w:tcW w:w="1476" w:type="dxa"/>
          </w:tcPr>
          <w:p w14:paraId="322830D7" w14:textId="1BD60B40" w:rsidR="007A5AAF" w:rsidRDefault="1ED41892">
            <w:r>
              <w:t>Accept in principle</w:t>
            </w:r>
          </w:p>
          <w:p w14:paraId="05766A60" w14:textId="2FE5DD28" w:rsidR="007A5AAF" w:rsidRDefault="007A5AAF"/>
        </w:tc>
        <w:tc>
          <w:tcPr>
            <w:tcW w:w="1480" w:type="dxa"/>
          </w:tcPr>
          <w:p w14:paraId="2ADB8B04" w14:textId="42FB0FCA" w:rsidR="007A5AAF" w:rsidRDefault="329946DE">
            <w:r>
              <w:t xml:space="preserve">Accept in principle </w:t>
            </w:r>
          </w:p>
        </w:tc>
        <w:tc>
          <w:tcPr>
            <w:tcW w:w="1477" w:type="dxa"/>
          </w:tcPr>
          <w:p w14:paraId="4370DD63" w14:textId="0D7B9D14" w:rsidR="007A5AAF" w:rsidRDefault="00692712">
            <w:r>
              <w:t>Accept in principle</w:t>
            </w:r>
          </w:p>
        </w:tc>
        <w:tc>
          <w:tcPr>
            <w:tcW w:w="1470" w:type="dxa"/>
          </w:tcPr>
          <w:p w14:paraId="5BE9FD00" w14:textId="52F5FF3C" w:rsidR="007A5AAF" w:rsidRDefault="00DE4E42">
            <w:r>
              <w:t>Accept in principle</w:t>
            </w:r>
          </w:p>
        </w:tc>
        <w:tc>
          <w:tcPr>
            <w:tcW w:w="1474" w:type="dxa"/>
          </w:tcPr>
          <w:p w14:paraId="3A9BC144" w14:textId="42D2E6B6" w:rsidR="007A5AAF" w:rsidRDefault="00610097">
            <w:r>
              <w:t>Accept in principle</w:t>
            </w:r>
          </w:p>
        </w:tc>
        <w:tc>
          <w:tcPr>
            <w:tcW w:w="1473" w:type="dxa"/>
          </w:tcPr>
          <w:p w14:paraId="0452267F" w14:textId="69C90731" w:rsidR="007A5AAF" w:rsidRDefault="3F77045A">
            <w:r>
              <w:t>Accept</w:t>
            </w:r>
          </w:p>
        </w:tc>
        <w:tc>
          <w:tcPr>
            <w:tcW w:w="1474" w:type="dxa"/>
          </w:tcPr>
          <w:p w14:paraId="1607103A" w14:textId="1BD60B40" w:rsidR="007A5AAF" w:rsidRDefault="68CBAD51">
            <w:r>
              <w:t>Accept in principle</w:t>
            </w:r>
          </w:p>
          <w:p w14:paraId="5E9B92FA" w14:textId="6131E29F" w:rsidR="007A5AAF" w:rsidRDefault="007A5AAF"/>
        </w:tc>
      </w:tr>
      <w:tr w:rsidR="007233B4" w14:paraId="2E5ADD38" w14:textId="77777777" w:rsidTr="00DE59EF">
        <w:trPr>
          <w:trHeight w:val="349"/>
        </w:trPr>
        <w:tc>
          <w:tcPr>
            <w:tcW w:w="2193" w:type="dxa"/>
          </w:tcPr>
          <w:p w14:paraId="7C3ADE00" w14:textId="12AADD70" w:rsidR="00B831F7" w:rsidRPr="00102E3D" w:rsidRDefault="00D9793F">
            <w:pPr>
              <w:rPr>
                <w:b/>
                <w:bCs/>
              </w:rPr>
            </w:pPr>
            <w:r w:rsidRPr="00102E3D">
              <w:rPr>
                <w:b/>
                <w:bCs/>
              </w:rPr>
              <w:t>7.5: Careers guidance and transition support services</w:t>
            </w:r>
          </w:p>
        </w:tc>
        <w:tc>
          <w:tcPr>
            <w:tcW w:w="1431" w:type="dxa"/>
          </w:tcPr>
          <w:p w14:paraId="796399FC" w14:textId="0C42972A" w:rsidR="00B831F7" w:rsidRDefault="00D9793F">
            <w:r>
              <w:t>State</w:t>
            </w:r>
            <w:r w:rsidR="00974E4D">
              <w:t xml:space="preserve"> responsibility</w:t>
            </w:r>
          </w:p>
        </w:tc>
        <w:tc>
          <w:tcPr>
            <w:tcW w:w="1476" w:type="dxa"/>
          </w:tcPr>
          <w:p w14:paraId="7D175FA4" w14:textId="17705696" w:rsidR="00B831F7" w:rsidRDefault="13B67BD0">
            <w:r>
              <w:t>Accept</w:t>
            </w:r>
          </w:p>
        </w:tc>
        <w:tc>
          <w:tcPr>
            <w:tcW w:w="1480" w:type="dxa"/>
          </w:tcPr>
          <w:p w14:paraId="04BD039A" w14:textId="694E5BA7" w:rsidR="00B831F7" w:rsidRDefault="7B774026">
            <w:r w:rsidRPr="7B774026">
              <w:rPr>
                <w:rFonts w:ascii="Calibri" w:eastAsia="Calibri" w:hAnsi="Calibri" w:cs="Calibri"/>
              </w:rPr>
              <w:t>Accept in part</w:t>
            </w:r>
          </w:p>
        </w:tc>
        <w:tc>
          <w:tcPr>
            <w:tcW w:w="1477" w:type="dxa"/>
          </w:tcPr>
          <w:p w14:paraId="623FE982" w14:textId="34D72CCF" w:rsidR="00B831F7" w:rsidRDefault="001E3613">
            <w:r>
              <w:t>Accept in principle</w:t>
            </w:r>
          </w:p>
        </w:tc>
        <w:tc>
          <w:tcPr>
            <w:tcW w:w="1470" w:type="dxa"/>
          </w:tcPr>
          <w:p w14:paraId="48EE13C4" w14:textId="74FD25F2" w:rsidR="00B831F7" w:rsidRDefault="00974E4D">
            <w:r>
              <w:t>Accept in principle</w:t>
            </w:r>
          </w:p>
        </w:tc>
        <w:tc>
          <w:tcPr>
            <w:tcW w:w="1474" w:type="dxa"/>
          </w:tcPr>
          <w:p w14:paraId="7079237C" w14:textId="41BD4CEE" w:rsidR="00B831F7" w:rsidRDefault="00C5447B">
            <w:r>
              <w:t>Accept in principle</w:t>
            </w:r>
          </w:p>
        </w:tc>
        <w:tc>
          <w:tcPr>
            <w:tcW w:w="1473" w:type="dxa"/>
          </w:tcPr>
          <w:p w14:paraId="44990027" w14:textId="1BD60B40" w:rsidR="00B831F7" w:rsidRDefault="2ADD1008">
            <w:r>
              <w:t>Accept in principle</w:t>
            </w:r>
          </w:p>
          <w:p w14:paraId="725351B7" w14:textId="0614317C" w:rsidR="00B831F7" w:rsidRDefault="00B831F7"/>
        </w:tc>
        <w:tc>
          <w:tcPr>
            <w:tcW w:w="1474" w:type="dxa"/>
          </w:tcPr>
          <w:p w14:paraId="3615093C" w14:textId="1BD60B40" w:rsidR="00B831F7" w:rsidRDefault="0E3CC804">
            <w:r>
              <w:t>Accept in principle</w:t>
            </w:r>
          </w:p>
          <w:p w14:paraId="0172DB7C" w14:textId="57763EC1" w:rsidR="00B831F7" w:rsidRDefault="00B831F7"/>
        </w:tc>
      </w:tr>
      <w:tr w:rsidR="00660964" w14:paraId="6FCF7D5E" w14:textId="77777777" w:rsidTr="00DE59EF">
        <w:trPr>
          <w:trHeight w:val="349"/>
        </w:trPr>
        <w:tc>
          <w:tcPr>
            <w:tcW w:w="2193" w:type="dxa"/>
          </w:tcPr>
          <w:p w14:paraId="247A81A5" w14:textId="0BCB034F" w:rsidR="007A5AAF" w:rsidRPr="00102E3D" w:rsidRDefault="007A5AAF">
            <w:pPr>
              <w:rPr>
                <w:b/>
                <w:bCs/>
              </w:rPr>
            </w:pPr>
            <w:r w:rsidRPr="00102E3D">
              <w:rPr>
                <w:b/>
                <w:bCs/>
              </w:rPr>
              <w:t>7.6</w:t>
            </w:r>
            <w:r w:rsidR="00102E3D">
              <w:rPr>
                <w:b/>
                <w:bCs/>
              </w:rPr>
              <w:t>:</w:t>
            </w:r>
            <w:r w:rsidRPr="00102E3D">
              <w:rPr>
                <w:b/>
                <w:bCs/>
              </w:rPr>
              <w:t xml:space="preserve"> Student and parental communication and relationships</w:t>
            </w:r>
          </w:p>
        </w:tc>
        <w:tc>
          <w:tcPr>
            <w:tcW w:w="1431" w:type="dxa"/>
          </w:tcPr>
          <w:p w14:paraId="0ACC51EA" w14:textId="6C3E6387" w:rsidR="007A5AAF" w:rsidRDefault="007A5AAF">
            <w:r>
              <w:t>Accept in principle</w:t>
            </w:r>
          </w:p>
        </w:tc>
        <w:tc>
          <w:tcPr>
            <w:tcW w:w="1476" w:type="dxa"/>
          </w:tcPr>
          <w:p w14:paraId="0B20CFF5" w14:textId="1BD60B40" w:rsidR="007A5AAF" w:rsidRDefault="13B67BD0">
            <w:r>
              <w:t>Accept in principle</w:t>
            </w:r>
          </w:p>
          <w:p w14:paraId="5B6F2F9C" w14:textId="7297586B" w:rsidR="007A5AAF" w:rsidRDefault="007A5AAF"/>
        </w:tc>
        <w:tc>
          <w:tcPr>
            <w:tcW w:w="1480" w:type="dxa"/>
          </w:tcPr>
          <w:p w14:paraId="538256F3" w14:textId="07FD9F24" w:rsidR="007A5AAF" w:rsidRDefault="6C1AAEE3">
            <w:r w:rsidRPr="6C1AAEE3">
              <w:rPr>
                <w:rFonts w:ascii="Calibri" w:eastAsia="Calibri" w:hAnsi="Calibri" w:cs="Calibri"/>
              </w:rPr>
              <w:t>Accept in principle</w:t>
            </w:r>
          </w:p>
        </w:tc>
        <w:tc>
          <w:tcPr>
            <w:tcW w:w="1477" w:type="dxa"/>
          </w:tcPr>
          <w:p w14:paraId="4A4E9BF7" w14:textId="69FDC41D" w:rsidR="007A5AAF" w:rsidRDefault="005022C4">
            <w:r>
              <w:t>Accept in principle</w:t>
            </w:r>
          </w:p>
        </w:tc>
        <w:tc>
          <w:tcPr>
            <w:tcW w:w="1470" w:type="dxa"/>
          </w:tcPr>
          <w:p w14:paraId="44C23DF4" w14:textId="74B86CE7" w:rsidR="007A5AAF" w:rsidRDefault="00560648">
            <w:r>
              <w:t>Accept in principle</w:t>
            </w:r>
          </w:p>
        </w:tc>
        <w:tc>
          <w:tcPr>
            <w:tcW w:w="1474" w:type="dxa"/>
          </w:tcPr>
          <w:p w14:paraId="6ACF90B4" w14:textId="5DC173C1" w:rsidR="007A5AAF" w:rsidRDefault="007D2A27">
            <w:r>
              <w:t>Accept in principle</w:t>
            </w:r>
          </w:p>
        </w:tc>
        <w:tc>
          <w:tcPr>
            <w:tcW w:w="1473" w:type="dxa"/>
          </w:tcPr>
          <w:p w14:paraId="6B73E19D" w14:textId="2FD1BF96" w:rsidR="007A5AAF" w:rsidRDefault="006DF2CE">
            <w:r>
              <w:t>Accept in principle</w:t>
            </w:r>
          </w:p>
          <w:p w14:paraId="37EF4C24" w14:textId="1DC28811" w:rsidR="007A5AAF" w:rsidRDefault="007A5AAF"/>
        </w:tc>
        <w:tc>
          <w:tcPr>
            <w:tcW w:w="1474" w:type="dxa"/>
          </w:tcPr>
          <w:p w14:paraId="3ADFFFA4" w14:textId="1BD60B40" w:rsidR="007A5AAF" w:rsidRDefault="10542184">
            <w:r>
              <w:t>Accept in principle</w:t>
            </w:r>
          </w:p>
          <w:p w14:paraId="7248D991" w14:textId="64B590C2" w:rsidR="007A5AAF" w:rsidRDefault="007A5AAF"/>
        </w:tc>
      </w:tr>
      <w:tr w:rsidR="007233B4" w14:paraId="2B6132D8" w14:textId="77777777" w:rsidTr="00DE59EF">
        <w:trPr>
          <w:trHeight w:val="349"/>
        </w:trPr>
        <w:tc>
          <w:tcPr>
            <w:tcW w:w="2193" w:type="dxa"/>
          </w:tcPr>
          <w:p w14:paraId="4834C14C" w14:textId="33EBC6C4" w:rsidR="00615E41" w:rsidRPr="00102E3D" w:rsidRDefault="00615E41">
            <w:pPr>
              <w:rPr>
                <w:b/>
                <w:bCs/>
              </w:rPr>
            </w:pPr>
            <w:r w:rsidRPr="00102E3D">
              <w:rPr>
                <w:b/>
                <w:bCs/>
              </w:rPr>
              <w:t>7.7: Inclusive education units and First Nations expertise</w:t>
            </w:r>
          </w:p>
        </w:tc>
        <w:tc>
          <w:tcPr>
            <w:tcW w:w="1431" w:type="dxa"/>
          </w:tcPr>
          <w:p w14:paraId="2AE85A60" w14:textId="76E8E95B" w:rsidR="00615E41" w:rsidRDefault="00615E41">
            <w:r>
              <w:t>State responsibility</w:t>
            </w:r>
          </w:p>
        </w:tc>
        <w:tc>
          <w:tcPr>
            <w:tcW w:w="1476" w:type="dxa"/>
          </w:tcPr>
          <w:p w14:paraId="2EDFDF94" w14:textId="3E2C3059" w:rsidR="00615E41" w:rsidRDefault="6C8E57B1">
            <w:r>
              <w:t>Accept</w:t>
            </w:r>
          </w:p>
        </w:tc>
        <w:tc>
          <w:tcPr>
            <w:tcW w:w="1480" w:type="dxa"/>
          </w:tcPr>
          <w:p w14:paraId="5D910E46" w14:textId="1140DADB" w:rsidR="00615E41" w:rsidRDefault="3525C606">
            <w:r>
              <w:t>Accept</w:t>
            </w:r>
          </w:p>
        </w:tc>
        <w:tc>
          <w:tcPr>
            <w:tcW w:w="1477" w:type="dxa"/>
          </w:tcPr>
          <w:p w14:paraId="20DD87A5" w14:textId="6FAC95FA" w:rsidR="00615E41" w:rsidRDefault="00A041CF">
            <w:r>
              <w:t>Subject to further consideration</w:t>
            </w:r>
          </w:p>
        </w:tc>
        <w:tc>
          <w:tcPr>
            <w:tcW w:w="1470" w:type="dxa"/>
          </w:tcPr>
          <w:p w14:paraId="6DA99437" w14:textId="400CC0F8" w:rsidR="00615E41" w:rsidRDefault="00615E41">
            <w:r>
              <w:t>Accept in principle</w:t>
            </w:r>
          </w:p>
        </w:tc>
        <w:tc>
          <w:tcPr>
            <w:tcW w:w="1474" w:type="dxa"/>
          </w:tcPr>
          <w:p w14:paraId="1DA7E291" w14:textId="088A1AED" w:rsidR="00615E41" w:rsidRDefault="00F06BEF">
            <w:r>
              <w:t>Accept</w:t>
            </w:r>
          </w:p>
        </w:tc>
        <w:tc>
          <w:tcPr>
            <w:tcW w:w="1473" w:type="dxa"/>
          </w:tcPr>
          <w:p w14:paraId="4CAB8D65" w14:textId="22EDD4FC" w:rsidR="00615E41" w:rsidRDefault="6EBD8D1D">
            <w:r>
              <w:t>Accept</w:t>
            </w:r>
          </w:p>
        </w:tc>
        <w:tc>
          <w:tcPr>
            <w:tcW w:w="1474" w:type="dxa"/>
          </w:tcPr>
          <w:p w14:paraId="059B5CBD" w14:textId="1BD60B40" w:rsidR="00615E41" w:rsidRDefault="48942DE6">
            <w:r>
              <w:t>Accept in principle</w:t>
            </w:r>
          </w:p>
          <w:p w14:paraId="6C5C48C9" w14:textId="4EE41D9E" w:rsidR="00615E41" w:rsidRDefault="00615E41"/>
        </w:tc>
      </w:tr>
      <w:tr w:rsidR="00660964" w14:paraId="082C7A49" w14:textId="77777777" w:rsidTr="00DE59EF">
        <w:trPr>
          <w:trHeight w:val="349"/>
        </w:trPr>
        <w:tc>
          <w:tcPr>
            <w:tcW w:w="2193" w:type="dxa"/>
          </w:tcPr>
          <w:p w14:paraId="48C1E667" w14:textId="3A3716E0" w:rsidR="007A5AAF" w:rsidRPr="00102E3D" w:rsidRDefault="007A5AAF">
            <w:pPr>
              <w:rPr>
                <w:b/>
                <w:bCs/>
              </w:rPr>
            </w:pPr>
            <w:r w:rsidRPr="00102E3D">
              <w:rPr>
                <w:b/>
                <w:bCs/>
              </w:rPr>
              <w:t>7.8</w:t>
            </w:r>
            <w:r w:rsidR="00102E3D">
              <w:rPr>
                <w:b/>
                <w:bCs/>
              </w:rPr>
              <w:t>:</w:t>
            </w:r>
            <w:r w:rsidRPr="00102E3D">
              <w:rPr>
                <w:b/>
                <w:bCs/>
              </w:rPr>
              <w:t xml:space="preserve"> Workforce capabilities, expertise and development</w:t>
            </w:r>
          </w:p>
        </w:tc>
        <w:tc>
          <w:tcPr>
            <w:tcW w:w="1431" w:type="dxa"/>
          </w:tcPr>
          <w:p w14:paraId="51B0D8FB" w14:textId="41D3DC28" w:rsidR="007A5AAF" w:rsidRDefault="007A5AAF">
            <w:r>
              <w:t xml:space="preserve">Accept in principle </w:t>
            </w:r>
          </w:p>
        </w:tc>
        <w:tc>
          <w:tcPr>
            <w:tcW w:w="1476" w:type="dxa"/>
          </w:tcPr>
          <w:p w14:paraId="60D256E2" w14:textId="1BD60B40" w:rsidR="007A5AAF" w:rsidRDefault="2161C3EF">
            <w:r>
              <w:t>Accept in principle</w:t>
            </w:r>
          </w:p>
          <w:p w14:paraId="0880EDAD" w14:textId="16994E83" w:rsidR="007A5AAF" w:rsidRDefault="007A5AAF"/>
        </w:tc>
        <w:tc>
          <w:tcPr>
            <w:tcW w:w="1480" w:type="dxa"/>
          </w:tcPr>
          <w:p w14:paraId="552ACD2E" w14:textId="19748FC7" w:rsidR="007A5AAF" w:rsidRDefault="3525C606">
            <w:r>
              <w:t xml:space="preserve">Accept in principle </w:t>
            </w:r>
          </w:p>
        </w:tc>
        <w:tc>
          <w:tcPr>
            <w:tcW w:w="1477" w:type="dxa"/>
          </w:tcPr>
          <w:p w14:paraId="660E348D" w14:textId="7C76837D" w:rsidR="007A5AAF" w:rsidRDefault="00EA0CBC">
            <w:r>
              <w:t>Accept in principle</w:t>
            </w:r>
          </w:p>
        </w:tc>
        <w:tc>
          <w:tcPr>
            <w:tcW w:w="1470" w:type="dxa"/>
          </w:tcPr>
          <w:p w14:paraId="4A02F311" w14:textId="6A64E77A" w:rsidR="007A5AAF" w:rsidRDefault="00D5794A">
            <w:r>
              <w:t>Accept in principle</w:t>
            </w:r>
          </w:p>
        </w:tc>
        <w:tc>
          <w:tcPr>
            <w:tcW w:w="1474" w:type="dxa"/>
          </w:tcPr>
          <w:p w14:paraId="6E33B7F4" w14:textId="38EA89AB" w:rsidR="007A5AAF" w:rsidRDefault="00362B5F">
            <w:r>
              <w:t>Accept in principle</w:t>
            </w:r>
          </w:p>
        </w:tc>
        <w:tc>
          <w:tcPr>
            <w:tcW w:w="1473" w:type="dxa"/>
          </w:tcPr>
          <w:p w14:paraId="4696CD8E" w14:textId="1BD60B40" w:rsidR="007A5AAF" w:rsidRDefault="29060867">
            <w:r>
              <w:t>Accept in principle</w:t>
            </w:r>
          </w:p>
          <w:p w14:paraId="5124F13E" w14:textId="45DD7CD1" w:rsidR="007A5AAF" w:rsidRDefault="007A5AAF"/>
        </w:tc>
        <w:tc>
          <w:tcPr>
            <w:tcW w:w="1474" w:type="dxa"/>
          </w:tcPr>
          <w:p w14:paraId="53CC37E9" w14:textId="1BD60B40" w:rsidR="007A5AAF" w:rsidRDefault="48942DE6">
            <w:r>
              <w:t>Accept in principle</w:t>
            </w:r>
          </w:p>
          <w:p w14:paraId="1147BD0E" w14:textId="674B7890" w:rsidR="007A5AAF" w:rsidRDefault="007A5AAF"/>
        </w:tc>
      </w:tr>
      <w:tr w:rsidR="00660964" w14:paraId="73730575" w14:textId="77777777" w:rsidTr="00DE59EF">
        <w:trPr>
          <w:trHeight w:val="349"/>
        </w:trPr>
        <w:tc>
          <w:tcPr>
            <w:tcW w:w="2193" w:type="dxa"/>
          </w:tcPr>
          <w:p w14:paraId="4D9A1A49" w14:textId="6E756D1C" w:rsidR="007A5AAF" w:rsidRPr="000673E8" w:rsidRDefault="007A5AAF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lastRenderedPageBreak/>
              <w:t>7.9</w:t>
            </w:r>
            <w:r w:rsidR="00102E3D">
              <w:rPr>
                <w:b/>
                <w:bCs/>
              </w:rPr>
              <w:t>:</w:t>
            </w:r>
            <w:r w:rsidRPr="000673E8">
              <w:rPr>
                <w:b/>
                <w:bCs/>
              </w:rPr>
              <w:t xml:space="preserve"> Data, evidence and building best practice</w:t>
            </w:r>
          </w:p>
        </w:tc>
        <w:tc>
          <w:tcPr>
            <w:tcW w:w="1431" w:type="dxa"/>
          </w:tcPr>
          <w:p w14:paraId="2BEF4427" w14:textId="77B1D108" w:rsidR="007A5AAF" w:rsidRDefault="007A5AAF">
            <w:r>
              <w:t>Accept in principle</w:t>
            </w:r>
          </w:p>
        </w:tc>
        <w:tc>
          <w:tcPr>
            <w:tcW w:w="1476" w:type="dxa"/>
          </w:tcPr>
          <w:p w14:paraId="580B1DA9" w14:textId="4FF975F1" w:rsidR="007A5AAF" w:rsidRDefault="7079DD57">
            <w:r>
              <w:t>Accept in principle</w:t>
            </w:r>
          </w:p>
          <w:p w14:paraId="151659A6" w14:textId="68F762F0" w:rsidR="007A5AAF" w:rsidRDefault="007A5AAF"/>
        </w:tc>
        <w:tc>
          <w:tcPr>
            <w:tcW w:w="1480" w:type="dxa"/>
          </w:tcPr>
          <w:p w14:paraId="1579E1BD" w14:textId="7A357E74" w:rsidR="007A5AAF" w:rsidRDefault="3525C606">
            <w:r>
              <w:t xml:space="preserve">Accept in principle </w:t>
            </w:r>
          </w:p>
        </w:tc>
        <w:tc>
          <w:tcPr>
            <w:tcW w:w="1477" w:type="dxa"/>
          </w:tcPr>
          <w:p w14:paraId="7FD5DE7B" w14:textId="07F429CA" w:rsidR="007A5AAF" w:rsidRDefault="004648E0">
            <w:r>
              <w:t>Accept in principle</w:t>
            </w:r>
          </w:p>
        </w:tc>
        <w:tc>
          <w:tcPr>
            <w:tcW w:w="1470" w:type="dxa"/>
          </w:tcPr>
          <w:p w14:paraId="4AC5182F" w14:textId="0BE1A3B1" w:rsidR="007A5AAF" w:rsidRDefault="005575DA">
            <w:r>
              <w:t>Accept in principle</w:t>
            </w:r>
          </w:p>
        </w:tc>
        <w:tc>
          <w:tcPr>
            <w:tcW w:w="1474" w:type="dxa"/>
          </w:tcPr>
          <w:p w14:paraId="063D9486" w14:textId="131FBA43" w:rsidR="007A5AAF" w:rsidRDefault="00713142">
            <w:r>
              <w:t>Accept in principle</w:t>
            </w:r>
          </w:p>
        </w:tc>
        <w:tc>
          <w:tcPr>
            <w:tcW w:w="1473" w:type="dxa"/>
          </w:tcPr>
          <w:p w14:paraId="03779D2B" w14:textId="00D255BA" w:rsidR="007A5AAF" w:rsidRDefault="1CDF9490">
            <w:r>
              <w:t>Accept in part</w:t>
            </w:r>
          </w:p>
        </w:tc>
        <w:tc>
          <w:tcPr>
            <w:tcW w:w="1474" w:type="dxa"/>
          </w:tcPr>
          <w:p w14:paraId="4A395B1F" w14:textId="1BD60B40" w:rsidR="007A5AAF" w:rsidRDefault="76798E3E">
            <w:r>
              <w:t>Accept in principle</w:t>
            </w:r>
          </w:p>
          <w:p w14:paraId="1ED52ED9" w14:textId="5D2445D1" w:rsidR="007A5AAF" w:rsidRDefault="007A5AAF"/>
        </w:tc>
      </w:tr>
      <w:tr w:rsidR="00660964" w14:paraId="0BBCFF8C" w14:textId="77777777" w:rsidTr="00DE59EF">
        <w:trPr>
          <w:trHeight w:val="349"/>
        </w:trPr>
        <w:tc>
          <w:tcPr>
            <w:tcW w:w="2193" w:type="dxa"/>
          </w:tcPr>
          <w:p w14:paraId="78A19DD6" w14:textId="29E7ADEE" w:rsidR="007A5AAF" w:rsidRPr="000673E8" w:rsidRDefault="007A5AAF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t>7.10</w:t>
            </w:r>
            <w:r w:rsidR="00102E3D">
              <w:rPr>
                <w:b/>
                <w:bCs/>
              </w:rPr>
              <w:t>:</w:t>
            </w:r>
            <w:r w:rsidRPr="000673E8">
              <w:rPr>
                <w:b/>
                <w:bCs/>
              </w:rPr>
              <w:t xml:space="preserve"> Complaint management</w:t>
            </w:r>
          </w:p>
        </w:tc>
        <w:tc>
          <w:tcPr>
            <w:tcW w:w="1431" w:type="dxa"/>
          </w:tcPr>
          <w:p w14:paraId="6B31256F" w14:textId="7BAD0C53" w:rsidR="007A5AAF" w:rsidRDefault="007A5AAF">
            <w:r>
              <w:t>Accept in principle</w:t>
            </w:r>
          </w:p>
        </w:tc>
        <w:tc>
          <w:tcPr>
            <w:tcW w:w="1476" w:type="dxa"/>
          </w:tcPr>
          <w:p w14:paraId="15D0A189" w14:textId="1BD60B40" w:rsidR="007A5AAF" w:rsidRDefault="7079DD57">
            <w:r>
              <w:t>Accept in principle</w:t>
            </w:r>
          </w:p>
          <w:p w14:paraId="5775F58E" w14:textId="1538B69D" w:rsidR="007A5AAF" w:rsidRDefault="007A5AAF"/>
        </w:tc>
        <w:tc>
          <w:tcPr>
            <w:tcW w:w="1480" w:type="dxa"/>
          </w:tcPr>
          <w:p w14:paraId="635A2785" w14:textId="4F2176B6" w:rsidR="007A5AAF" w:rsidRDefault="3525C606">
            <w:r>
              <w:t xml:space="preserve">Accept in principle </w:t>
            </w:r>
          </w:p>
        </w:tc>
        <w:tc>
          <w:tcPr>
            <w:tcW w:w="1477" w:type="dxa"/>
          </w:tcPr>
          <w:p w14:paraId="14AAF87A" w14:textId="7C9C3366" w:rsidR="007A5AAF" w:rsidRDefault="007F3811">
            <w:r>
              <w:t>Accept in principle</w:t>
            </w:r>
          </w:p>
        </w:tc>
        <w:tc>
          <w:tcPr>
            <w:tcW w:w="1470" w:type="dxa"/>
          </w:tcPr>
          <w:p w14:paraId="7E0B2E04" w14:textId="0D54669F" w:rsidR="007A5AAF" w:rsidRDefault="003B66E1">
            <w:r>
              <w:t>Accept in principle</w:t>
            </w:r>
          </w:p>
        </w:tc>
        <w:tc>
          <w:tcPr>
            <w:tcW w:w="1474" w:type="dxa"/>
          </w:tcPr>
          <w:p w14:paraId="0DF15D85" w14:textId="71C466BF" w:rsidR="007A5AAF" w:rsidRDefault="00873028">
            <w:r>
              <w:t>Accept in principle</w:t>
            </w:r>
          </w:p>
        </w:tc>
        <w:tc>
          <w:tcPr>
            <w:tcW w:w="1473" w:type="dxa"/>
          </w:tcPr>
          <w:p w14:paraId="7F9D79C6" w14:textId="7532F82B" w:rsidR="007A5AAF" w:rsidRDefault="2FC2638E">
            <w:r>
              <w:t>Accept in part</w:t>
            </w:r>
          </w:p>
        </w:tc>
        <w:tc>
          <w:tcPr>
            <w:tcW w:w="1474" w:type="dxa"/>
          </w:tcPr>
          <w:p w14:paraId="1204810E" w14:textId="1BD60B40" w:rsidR="007A5AAF" w:rsidRDefault="76798E3E">
            <w:r>
              <w:t>Accept in principle</w:t>
            </w:r>
          </w:p>
          <w:p w14:paraId="5755A58D" w14:textId="182FD54F" w:rsidR="007A5AAF" w:rsidRDefault="007A5AAF"/>
        </w:tc>
      </w:tr>
      <w:tr w:rsidR="007233B4" w14:paraId="72F32AC4" w14:textId="77777777" w:rsidTr="00DE59EF">
        <w:trPr>
          <w:trHeight w:val="349"/>
        </w:trPr>
        <w:tc>
          <w:tcPr>
            <w:tcW w:w="2193" w:type="dxa"/>
          </w:tcPr>
          <w:p w14:paraId="48380CF9" w14:textId="67F74B9B" w:rsidR="00D2494A" w:rsidRPr="000673E8" w:rsidRDefault="00090F2F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t>7.11: Stronger oversight and enforcement of school duties</w:t>
            </w:r>
          </w:p>
        </w:tc>
        <w:tc>
          <w:tcPr>
            <w:tcW w:w="1431" w:type="dxa"/>
          </w:tcPr>
          <w:p w14:paraId="29567DE8" w14:textId="268E3848" w:rsidR="00D2494A" w:rsidRDefault="00C254FD">
            <w:r>
              <w:t>State responsibility</w:t>
            </w:r>
          </w:p>
        </w:tc>
        <w:tc>
          <w:tcPr>
            <w:tcW w:w="1476" w:type="dxa"/>
          </w:tcPr>
          <w:p w14:paraId="066A9EB2" w14:textId="1BD60B40" w:rsidR="00D2494A" w:rsidRDefault="7079DD57">
            <w:r>
              <w:t>Accept in principle</w:t>
            </w:r>
          </w:p>
          <w:p w14:paraId="7628F1C3" w14:textId="116A65E7" w:rsidR="00D2494A" w:rsidRDefault="00D2494A"/>
        </w:tc>
        <w:tc>
          <w:tcPr>
            <w:tcW w:w="1480" w:type="dxa"/>
          </w:tcPr>
          <w:p w14:paraId="1BCFC6CB" w14:textId="5678A9D9" w:rsidR="00D2494A" w:rsidRDefault="3525C606">
            <w:r>
              <w:t>Accept in principle</w:t>
            </w:r>
          </w:p>
        </w:tc>
        <w:tc>
          <w:tcPr>
            <w:tcW w:w="1477" w:type="dxa"/>
          </w:tcPr>
          <w:p w14:paraId="0D0A2474" w14:textId="4419CD94" w:rsidR="00D2494A" w:rsidRDefault="00F05508">
            <w:r>
              <w:t>Subject to further consideration</w:t>
            </w:r>
          </w:p>
        </w:tc>
        <w:tc>
          <w:tcPr>
            <w:tcW w:w="1470" w:type="dxa"/>
          </w:tcPr>
          <w:p w14:paraId="59252D49" w14:textId="2DA284CB" w:rsidR="00D2494A" w:rsidRDefault="007234EA">
            <w:r>
              <w:t>Accept in principle</w:t>
            </w:r>
          </w:p>
        </w:tc>
        <w:tc>
          <w:tcPr>
            <w:tcW w:w="1474" w:type="dxa"/>
          </w:tcPr>
          <w:p w14:paraId="02473DBD" w14:textId="47D47582" w:rsidR="00D2494A" w:rsidRDefault="0000678E">
            <w:r>
              <w:t>Accept</w:t>
            </w:r>
          </w:p>
        </w:tc>
        <w:tc>
          <w:tcPr>
            <w:tcW w:w="1473" w:type="dxa"/>
          </w:tcPr>
          <w:p w14:paraId="773BB6D3" w14:textId="1BD60B40" w:rsidR="00D2494A" w:rsidRDefault="2FC2638E">
            <w:r>
              <w:t>Accept in principle</w:t>
            </w:r>
          </w:p>
          <w:p w14:paraId="02182493" w14:textId="403BB289" w:rsidR="00D2494A" w:rsidRDefault="00D2494A"/>
        </w:tc>
        <w:tc>
          <w:tcPr>
            <w:tcW w:w="1474" w:type="dxa"/>
          </w:tcPr>
          <w:p w14:paraId="6F929F9C" w14:textId="1BD60B40" w:rsidR="00D2494A" w:rsidRDefault="76798E3E">
            <w:r>
              <w:t>Accept in principle</w:t>
            </w:r>
          </w:p>
          <w:p w14:paraId="733FD59F" w14:textId="15BA70FF" w:rsidR="00D2494A" w:rsidRDefault="00D2494A"/>
        </w:tc>
      </w:tr>
      <w:tr w:rsidR="00660964" w14:paraId="2F0D56CC" w14:textId="77777777" w:rsidTr="00DE59EF">
        <w:trPr>
          <w:trHeight w:val="349"/>
        </w:trPr>
        <w:tc>
          <w:tcPr>
            <w:tcW w:w="2193" w:type="dxa"/>
          </w:tcPr>
          <w:p w14:paraId="34503005" w14:textId="38084686" w:rsidR="007A5AAF" w:rsidRPr="000673E8" w:rsidRDefault="007A5AAF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t>7.12</w:t>
            </w:r>
            <w:r w:rsidR="00102E3D">
              <w:rPr>
                <w:b/>
                <w:bCs/>
              </w:rPr>
              <w:t>:</w:t>
            </w:r>
            <w:r w:rsidRPr="000673E8">
              <w:rPr>
                <w:b/>
                <w:bCs/>
              </w:rPr>
              <w:t xml:space="preserve"> Improving funding</w:t>
            </w:r>
          </w:p>
        </w:tc>
        <w:tc>
          <w:tcPr>
            <w:tcW w:w="1431" w:type="dxa"/>
          </w:tcPr>
          <w:p w14:paraId="034EF62E" w14:textId="38BEC610" w:rsidR="007A5AAF" w:rsidRDefault="007A5AAF">
            <w:r>
              <w:t>Accept in principle</w:t>
            </w:r>
          </w:p>
        </w:tc>
        <w:tc>
          <w:tcPr>
            <w:tcW w:w="1476" w:type="dxa"/>
          </w:tcPr>
          <w:p w14:paraId="1C6B7D69" w14:textId="1BD60B40" w:rsidR="007A5AAF" w:rsidRDefault="6FE3D50E">
            <w:r>
              <w:t>Accept in principle</w:t>
            </w:r>
          </w:p>
          <w:p w14:paraId="0746E555" w14:textId="77777777" w:rsidR="007A5AAF" w:rsidRDefault="007A5AAF"/>
        </w:tc>
        <w:tc>
          <w:tcPr>
            <w:tcW w:w="1480" w:type="dxa"/>
          </w:tcPr>
          <w:p w14:paraId="45D89E36" w14:textId="3B68680B" w:rsidR="007A5AAF" w:rsidRDefault="3525C606">
            <w:r>
              <w:t xml:space="preserve">Accept in principle </w:t>
            </w:r>
          </w:p>
        </w:tc>
        <w:tc>
          <w:tcPr>
            <w:tcW w:w="1477" w:type="dxa"/>
          </w:tcPr>
          <w:p w14:paraId="223A4E28" w14:textId="1E22845E" w:rsidR="007A5AAF" w:rsidRDefault="00EB05FC">
            <w:r>
              <w:t>Accept in principle</w:t>
            </w:r>
          </w:p>
        </w:tc>
        <w:tc>
          <w:tcPr>
            <w:tcW w:w="1470" w:type="dxa"/>
          </w:tcPr>
          <w:p w14:paraId="31D52934" w14:textId="1540E405" w:rsidR="007A5AAF" w:rsidRDefault="000773A7">
            <w:r>
              <w:t>Accept in principle</w:t>
            </w:r>
          </w:p>
        </w:tc>
        <w:tc>
          <w:tcPr>
            <w:tcW w:w="1474" w:type="dxa"/>
          </w:tcPr>
          <w:p w14:paraId="599A6D1B" w14:textId="73C15476" w:rsidR="007A5AAF" w:rsidRDefault="00B973B6">
            <w:r>
              <w:t>Accept in principle</w:t>
            </w:r>
          </w:p>
        </w:tc>
        <w:tc>
          <w:tcPr>
            <w:tcW w:w="1473" w:type="dxa"/>
          </w:tcPr>
          <w:p w14:paraId="14588E03" w14:textId="309E679E" w:rsidR="007A5AAF" w:rsidRDefault="04F7868A">
            <w:r>
              <w:t>Accept in part</w:t>
            </w:r>
          </w:p>
        </w:tc>
        <w:tc>
          <w:tcPr>
            <w:tcW w:w="1474" w:type="dxa"/>
          </w:tcPr>
          <w:p w14:paraId="74E094D1" w14:textId="16887BB5" w:rsidR="007A5AAF" w:rsidRDefault="25BA1930">
            <w:r>
              <w:t>Accept in principle</w:t>
            </w:r>
          </w:p>
          <w:p w14:paraId="244CBD77" w14:textId="31224C31" w:rsidR="007A5AAF" w:rsidRDefault="007A5AAF"/>
        </w:tc>
      </w:tr>
      <w:tr w:rsidR="00660964" w14:paraId="64D4A842" w14:textId="77777777" w:rsidTr="00DE59EF">
        <w:trPr>
          <w:trHeight w:val="349"/>
        </w:trPr>
        <w:tc>
          <w:tcPr>
            <w:tcW w:w="2193" w:type="dxa"/>
          </w:tcPr>
          <w:p w14:paraId="61FC9730" w14:textId="30864BF6" w:rsidR="007A5AAF" w:rsidRPr="000673E8" w:rsidRDefault="007A5AAF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t>7.13</w:t>
            </w:r>
            <w:r w:rsidR="00102E3D">
              <w:rPr>
                <w:b/>
                <w:bCs/>
              </w:rPr>
              <w:t>:</w:t>
            </w:r>
            <w:r w:rsidRPr="000673E8">
              <w:rPr>
                <w:b/>
                <w:bCs/>
              </w:rPr>
              <w:t xml:space="preserve"> National Roadmap to Inclusive Education</w:t>
            </w:r>
          </w:p>
        </w:tc>
        <w:tc>
          <w:tcPr>
            <w:tcW w:w="1431" w:type="dxa"/>
          </w:tcPr>
          <w:p w14:paraId="3240FD6E" w14:textId="09C11BAC" w:rsidR="007A5AAF" w:rsidRDefault="007A5AAF">
            <w:r>
              <w:t>Accept in principle</w:t>
            </w:r>
          </w:p>
        </w:tc>
        <w:tc>
          <w:tcPr>
            <w:tcW w:w="1476" w:type="dxa"/>
          </w:tcPr>
          <w:p w14:paraId="6B69C9FA" w14:textId="1BD60B40" w:rsidR="007A5AAF" w:rsidRDefault="693CFDBE">
            <w:r>
              <w:t>Accept in principle</w:t>
            </w:r>
          </w:p>
          <w:p w14:paraId="02473B82" w14:textId="70F7E3A1" w:rsidR="007A5AAF" w:rsidRDefault="007A5AAF"/>
        </w:tc>
        <w:tc>
          <w:tcPr>
            <w:tcW w:w="1480" w:type="dxa"/>
          </w:tcPr>
          <w:p w14:paraId="01C295D7" w14:textId="5FBC5093" w:rsidR="007A5AAF" w:rsidRDefault="3525C606">
            <w:r w:rsidRPr="3525C606">
              <w:rPr>
                <w:rFonts w:ascii="Calibri" w:eastAsia="Calibri" w:hAnsi="Calibri" w:cs="Calibri"/>
              </w:rPr>
              <w:t>Accept in principle</w:t>
            </w:r>
          </w:p>
        </w:tc>
        <w:tc>
          <w:tcPr>
            <w:tcW w:w="1477" w:type="dxa"/>
          </w:tcPr>
          <w:p w14:paraId="20FB01A5" w14:textId="010633B8" w:rsidR="007A5AAF" w:rsidRDefault="00C53E6C">
            <w:r>
              <w:t>Accept in principle</w:t>
            </w:r>
          </w:p>
        </w:tc>
        <w:tc>
          <w:tcPr>
            <w:tcW w:w="1470" w:type="dxa"/>
          </w:tcPr>
          <w:p w14:paraId="587AEBAE" w14:textId="46B3FF0F" w:rsidR="007A5AAF" w:rsidRDefault="00F43138">
            <w:r>
              <w:t>Accept in principle</w:t>
            </w:r>
          </w:p>
        </w:tc>
        <w:tc>
          <w:tcPr>
            <w:tcW w:w="1474" w:type="dxa"/>
          </w:tcPr>
          <w:p w14:paraId="7EB0551D" w14:textId="2F3FC322" w:rsidR="007A5AAF" w:rsidRDefault="003A5B32">
            <w:r>
              <w:t>Accept in principle</w:t>
            </w:r>
          </w:p>
        </w:tc>
        <w:tc>
          <w:tcPr>
            <w:tcW w:w="1473" w:type="dxa"/>
          </w:tcPr>
          <w:p w14:paraId="45899A38" w14:textId="1BD60B40" w:rsidR="007A5AAF" w:rsidRDefault="04F7868A">
            <w:r>
              <w:t>Accept in principle</w:t>
            </w:r>
          </w:p>
          <w:p w14:paraId="4DBE30BF" w14:textId="3BF5C52B" w:rsidR="007A5AAF" w:rsidRDefault="007A5AAF"/>
        </w:tc>
        <w:tc>
          <w:tcPr>
            <w:tcW w:w="1474" w:type="dxa"/>
          </w:tcPr>
          <w:p w14:paraId="223A3BBE" w14:textId="1BD60B40" w:rsidR="007A5AAF" w:rsidRDefault="3FAF888F">
            <w:r>
              <w:t>Accept in principle</w:t>
            </w:r>
          </w:p>
          <w:p w14:paraId="1460E8EE" w14:textId="7D54961F" w:rsidR="007A5AAF" w:rsidRDefault="007A5AAF"/>
        </w:tc>
      </w:tr>
      <w:tr w:rsidR="00660964" w14:paraId="39491AE9" w14:textId="77777777" w:rsidTr="00DE59EF">
        <w:trPr>
          <w:trHeight w:val="349"/>
        </w:trPr>
        <w:tc>
          <w:tcPr>
            <w:tcW w:w="2193" w:type="dxa"/>
          </w:tcPr>
          <w:p w14:paraId="6715F18A" w14:textId="2B1CE892" w:rsidR="007A5AAF" w:rsidRPr="000673E8" w:rsidRDefault="007A5AAF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t>7.14</w:t>
            </w:r>
            <w:r w:rsidR="00102E3D">
              <w:rPr>
                <w:b/>
                <w:bCs/>
              </w:rPr>
              <w:t>:</w:t>
            </w:r>
            <w:r w:rsidRPr="000673E8">
              <w:rPr>
                <w:b/>
                <w:bCs/>
              </w:rPr>
              <w:t xml:space="preserve"> Phasing out/ending segregated education</w:t>
            </w:r>
          </w:p>
        </w:tc>
        <w:tc>
          <w:tcPr>
            <w:tcW w:w="1431" w:type="dxa"/>
          </w:tcPr>
          <w:p w14:paraId="4FE017BE" w14:textId="515D2310" w:rsidR="007A5AAF" w:rsidRDefault="007A5AAF">
            <w:r>
              <w:t>Noted</w:t>
            </w:r>
          </w:p>
        </w:tc>
        <w:tc>
          <w:tcPr>
            <w:tcW w:w="1476" w:type="dxa"/>
          </w:tcPr>
          <w:p w14:paraId="62FBC158" w14:textId="041629E5" w:rsidR="007A5AAF" w:rsidRDefault="4A4B911E">
            <w:r>
              <w:t>Noted</w:t>
            </w:r>
          </w:p>
        </w:tc>
        <w:tc>
          <w:tcPr>
            <w:tcW w:w="1480" w:type="dxa"/>
          </w:tcPr>
          <w:p w14:paraId="6F352754" w14:textId="445F11D6" w:rsidR="007A5AAF" w:rsidRDefault="3525C606">
            <w:pPr>
              <w:rPr>
                <w:rFonts w:ascii="Calibri" w:eastAsia="Calibri" w:hAnsi="Calibri" w:cs="Calibri"/>
              </w:rPr>
            </w:pPr>
            <w:r w:rsidRPr="3525C606">
              <w:rPr>
                <w:rFonts w:ascii="Calibri" w:eastAsia="Calibri" w:hAnsi="Calibri" w:cs="Calibri"/>
              </w:rPr>
              <w:t>Note</w:t>
            </w:r>
          </w:p>
        </w:tc>
        <w:tc>
          <w:tcPr>
            <w:tcW w:w="1477" w:type="dxa"/>
          </w:tcPr>
          <w:p w14:paraId="6532C3F7" w14:textId="75A21C6F" w:rsidR="007A5AAF" w:rsidRDefault="007D038C">
            <w:r>
              <w:t>Note</w:t>
            </w:r>
          </w:p>
        </w:tc>
        <w:tc>
          <w:tcPr>
            <w:tcW w:w="1470" w:type="dxa"/>
          </w:tcPr>
          <w:p w14:paraId="6794BDB5" w14:textId="52C485DF" w:rsidR="007A5AAF" w:rsidRDefault="00BB67BD">
            <w:r>
              <w:t>Note</w:t>
            </w:r>
          </w:p>
        </w:tc>
        <w:tc>
          <w:tcPr>
            <w:tcW w:w="1474" w:type="dxa"/>
          </w:tcPr>
          <w:p w14:paraId="503EC6EF" w14:textId="083F924B" w:rsidR="007A5AAF" w:rsidRDefault="002822EB">
            <w:r>
              <w:t>Note</w:t>
            </w:r>
          </w:p>
        </w:tc>
        <w:tc>
          <w:tcPr>
            <w:tcW w:w="1473" w:type="dxa"/>
          </w:tcPr>
          <w:p w14:paraId="1362942C" w14:textId="673FE148" w:rsidR="007A5AAF" w:rsidRDefault="398979E6">
            <w:r>
              <w:t>Do not accept</w:t>
            </w:r>
          </w:p>
        </w:tc>
        <w:tc>
          <w:tcPr>
            <w:tcW w:w="1474" w:type="dxa"/>
          </w:tcPr>
          <w:p w14:paraId="47DB0B30" w14:textId="4994DA32" w:rsidR="007A5AAF" w:rsidRDefault="3FAF888F">
            <w:r>
              <w:t>Subject to further consideration</w:t>
            </w:r>
          </w:p>
        </w:tc>
      </w:tr>
      <w:tr w:rsidR="00660964" w14:paraId="406C96F6" w14:textId="77777777" w:rsidTr="00DE59EF">
        <w:trPr>
          <w:trHeight w:val="349"/>
        </w:trPr>
        <w:tc>
          <w:tcPr>
            <w:tcW w:w="2193" w:type="dxa"/>
          </w:tcPr>
          <w:p w14:paraId="54BA3336" w14:textId="0F12F877" w:rsidR="007A5AAF" w:rsidRPr="000673E8" w:rsidRDefault="007A5AAF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t>7.15</w:t>
            </w:r>
            <w:r w:rsidR="00102E3D">
              <w:rPr>
                <w:b/>
                <w:bCs/>
              </w:rPr>
              <w:t>:</w:t>
            </w:r>
            <w:r w:rsidRPr="000673E8">
              <w:rPr>
                <w:b/>
                <w:bCs/>
              </w:rPr>
              <w:t xml:space="preserve"> An alternative approach</w:t>
            </w:r>
          </w:p>
        </w:tc>
        <w:tc>
          <w:tcPr>
            <w:tcW w:w="1431" w:type="dxa"/>
          </w:tcPr>
          <w:p w14:paraId="064B7C82" w14:textId="773BF7BA" w:rsidR="007A5AAF" w:rsidRDefault="007A5AAF">
            <w:r>
              <w:t>Noted</w:t>
            </w:r>
          </w:p>
        </w:tc>
        <w:tc>
          <w:tcPr>
            <w:tcW w:w="1476" w:type="dxa"/>
          </w:tcPr>
          <w:p w14:paraId="18F42B32" w14:textId="0608B59A" w:rsidR="007A5AAF" w:rsidRDefault="4A4B911E">
            <w:r>
              <w:t>Noted</w:t>
            </w:r>
          </w:p>
        </w:tc>
        <w:tc>
          <w:tcPr>
            <w:tcW w:w="1480" w:type="dxa"/>
          </w:tcPr>
          <w:p w14:paraId="6A29D7D5" w14:textId="69F9C5B1" w:rsidR="007A5AAF" w:rsidRDefault="3525C606">
            <w:r>
              <w:t xml:space="preserve">Note </w:t>
            </w:r>
          </w:p>
        </w:tc>
        <w:tc>
          <w:tcPr>
            <w:tcW w:w="1477" w:type="dxa"/>
          </w:tcPr>
          <w:p w14:paraId="6249E8D5" w14:textId="353F0A84" w:rsidR="007A5AAF" w:rsidRDefault="007D038C">
            <w:r>
              <w:t>Note</w:t>
            </w:r>
          </w:p>
        </w:tc>
        <w:tc>
          <w:tcPr>
            <w:tcW w:w="1470" w:type="dxa"/>
          </w:tcPr>
          <w:p w14:paraId="48762725" w14:textId="70F92BE6" w:rsidR="007A5AAF" w:rsidRDefault="00F835A2">
            <w:r>
              <w:t>Note</w:t>
            </w:r>
          </w:p>
        </w:tc>
        <w:tc>
          <w:tcPr>
            <w:tcW w:w="1474" w:type="dxa"/>
          </w:tcPr>
          <w:p w14:paraId="77C88244" w14:textId="3D0C4A15" w:rsidR="007A5AAF" w:rsidRDefault="006507BD">
            <w:r>
              <w:t>Note</w:t>
            </w:r>
          </w:p>
        </w:tc>
        <w:tc>
          <w:tcPr>
            <w:tcW w:w="1473" w:type="dxa"/>
          </w:tcPr>
          <w:p w14:paraId="78680675" w14:textId="1BD60B40" w:rsidR="007A5AAF" w:rsidRDefault="28E4B756">
            <w:r>
              <w:t>Accept in principle</w:t>
            </w:r>
          </w:p>
          <w:p w14:paraId="623A6403" w14:textId="01A4B257" w:rsidR="007A5AAF" w:rsidRDefault="007A5AAF"/>
        </w:tc>
        <w:tc>
          <w:tcPr>
            <w:tcW w:w="1474" w:type="dxa"/>
          </w:tcPr>
          <w:p w14:paraId="751BA3EC" w14:textId="24AFCC1F" w:rsidR="007A5AAF" w:rsidRDefault="3FAF888F">
            <w:r>
              <w:t xml:space="preserve">Subject to further </w:t>
            </w:r>
            <w:r w:rsidR="233884FB">
              <w:t>consideration</w:t>
            </w:r>
          </w:p>
        </w:tc>
      </w:tr>
      <w:tr w:rsidR="00660964" w14:paraId="211CAFE0" w14:textId="77777777" w:rsidTr="00DE59EF">
        <w:trPr>
          <w:trHeight w:val="349"/>
        </w:trPr>
        <w:tc>
          <w:tcPr>
            <w:tcW w:w="2193" w:type="dxa"/>
            <w:shd w:val="clear" w:color="auto" w:fill="CCFF99"/>
          </w:tcPr>
          <w:p w14:paraId="6DB9F288" w14:textId="037278D0" w:rsidR="007A5AAF" w:rsidRPr="00ED0EC4" w:rsidRDefault="00ED0EC4">
            <w:pPr>
              <w:rPr>
                <w:b/>
                <w:bCs/>
              </w:rPr>
            </w:pPr>
            <w:r w:rsidRPr="00ED0EC4">
              <w:rPr>
                <w:b/>
                <w:bCs/>
              </w:rPr>
              <w:t>Employment</w:t>
            </w:r>
          </w:p>
        </w:tc>
        <w:tc>
          <w:tcPr>
            <w:tcW w:w="1431" w:type="dxa"/>
            <w:shd w:val="clear" w:color="auto" w:fill="CCFF99"/>
          </w:tcPr>
          <w:p w14:paraId="119A3655" w14:textId="77777777" w:rsidR="007A5AAF" w:rsidRDefault="007A5AAF"/>
        </w:tc>
        <w:tc>
          <w:tcPr>
            <w:tcW w:w="1476" w:type="dxa"/>
            <w:shd w:val="clear" w:color="auto" w:fill="CCFF99"/>
          </w:tcPr>
          <w:p w14:paraId="64231625" w14:textId="77777777" w:rsidR="007A5AAF" w:rsidRDefault="007A5AAF"/>
        </w:tc>
        <w:tc>
          <w:tcPr>
            <w:tcW w:w="1480" w:type="dxa"/>
            <w:shd w:val="clear" w:color="auto" w:fill="CCFF99"/>
          </w:tcPr>
          <w:p w14:paraId="31157D48" w14:textId="77777777" w:rsidR="007A5AAF" w:rsidRDefault="007A5AAF"/>
        </w:tc>
        <w:tc>
          <w:tcPr>
            <w:tcW w:w="1477" w:type="dxa"/>
            <w:shd w:val="clear" w:color="auto" w:fill="CCFF99"/>
          </w:tcPr>
          <w:p w14:paraId="207405F4" w14:textId="77777777" w:rsidR="007A5AAF" w:rsidRDefault="007A5AAF"/>
        </w:tc>
        <w:tc>
          <w:tcPr>
            <w:tcW w:w="1470" w:type="dxa"/>
            <w:shd w:val="clear" w:color="auto" w:fill="CCFF99"/>
          </w:tcPr>
          <w:p w14:paraId="1E153078" w14:textId="77777777" w:rsidR="007A5AAF" w:rsidRDefault="007A5AAF"/>
        </w:tc>
        <w:tc>
          <w:tcPr>
            <w:tcW w:w="1474" w:type="dxa"/>
            <w:shd w:val="clear" w:color="auto" w:fill="CCFF99"/>
          </w:tcPr>
          <w:p w14:paraId="2DF1225E" w14:textId="77777777" w:rsidR="007A5AAF" w:rsidRDefault="007A5AAF"/>
        </w:tc>
        <w:tc>
          <w:tcPr>
            <w:tcW w:w="1473" w:type="dxa"/>
            <w:shd w:val="clear" w:color="auto" w:fill="CCFF99"/>
          </w:tcPr>
          <w:p w14:paraId="16C04186" w14:textId="77777777" w:rsidR="007A5AAF" w:rsidRDefault="007A5AAF"/>
        </w:tc>
        <w:tc>
          <w:tcPr>
            <w:tcW w:w="1474" w:type="dxa"/>
            <w:shd w:val="clear" w:color="auto" w:fill="CCFF99"/>
          </w:tcPr>
          <w:p w14:paraId="689E6F32" w14:textId="77777777" w:rsidR="007A5AAF" w:rsidRDefault="007A5AAF"/>
        </w:tc>
      </w:tr>
      <w:tr w:rsidR="00660964" w14:paraId="2B7F0102" w14:textId="77777777" w:rsidTr="00DE59EF">
        <w:trPr>
          <w:trHeight w:val="349"/>
        </w:trPr>
        <w:tc>
          <w:tcPr>
            <w:tcW w:w="2193" w:type="dxa"/>
          </w:tcPr>
          <w:p w14:paraId="61F19B0D" w14:textId="6B0694A5" w:rsidR="007A5AAF" w:rsidRPr="000673E8" w:rsidRDefault="00ED0EC4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t>7.16: Priorities for inclusion in the new Disability Employment Service model</w:t>
            </w:r>
          </w:p>
        </w:tc>
        <w:tc>
          <w:tcPr>
            <w:tcW w:w="1431" w:type="dxa"/>
          </w:tcPr>
          <w:p w14:paraId="0CD621DC" w14:textId="2A390920" w:rsidR="007A5AAF" w:rsidRDefault="00ED0EC4">
            <w:r>
              <w:t>Accept</w:t>
            </w:r>
          </w:p>
        </w:tc>
        <w:tc>
          <w:tcPr>
            <w:tcW w:w="1476" w:type="dxa"/>
          </w:tcPr>
          <w:p w14:paraId="0DDDAA20" w14:textId="1E2BCF67" w:rsidR="007A5AAF" w:rsidRDefault="00660964">
            <w:r>
              <w:t>Federal responsibility</w:t>
            </w:r>
          </w:p>
        </w:tc>
        <w:tc>
          <w:tcPr>
            <w:tcW w:w="1480" w:type="dxa"/>
          </w:tcPr>
          <w:p w14:paraId="0BD43FC1" w14:textId="229EF75F" w:rsidR="007A5AAF" w:rsidRDefault="00660964">
            <w:r>
              <w:t>Federal responsibility</w:t>
            </w:r>
          </w:p>
        </w:tc>
        <w:tc>
          <w:tcPr>
            <w:tcW w:w="1477" w:type="dxa"/>
          </w:tcPr>
          <w:p w14:paraId="689E9671" w14:textId="4784AD76" w:rsidR="007A5AAF" w:rsidRDefault="00660964">
            <w:r>
              <w:t>Federal responsibility</w:t>
            </w:r>
          </w:p>
        </w:tc>
        <w:tc>
          <w:tcPr>
            <w:tcW w:w="1470" w:type="dxa"/>
          </w:tcPr>
          <w:p w14:paraId="26FE6A42" w14:textId="47FF5950" w:rsidR="007A5AAF" w:rsidRDefault="00660964">
            <w:r>
              <w:t>Federal responsibility</w:t>
            </w:r>
          </w:p>
        </w:tc>
        <w:tc>
          <w:tcPr>
            <w:tcW w:w="1474" w:type="dxa"/>
          </w:tcPr>
          <w:p w14:paraId="093F2D76" w14:textId="2A123CE9" w:rsidR="007A5AAF" w:rsidRDefault="00660964">
            <w:r>
              <w:t>Federal responsibility</w:t>
            </w:r>
          </w:p>
        </w:tc>
        <w:tc>
          <w:tcPr>
            <w:tcW w:w="1473" w:type="dxa"/>
          </w:tcPr>
          <w:p w14:paraId="57BFC648" w14:textId="18B7913C" w:rsidR="007A5AAF" w:rsidRDefault="00660964">
            <w:r>
              <w:t>Federal responsibility</w:t>
            </w:r>
          </w:p>
        </w:tc>
        <w:tc>
          <w:tcPr>
            <w:tcW w:w="1474" w:type="dxa"/>
          </w:tcPr>
          <w:p w14:paraId="73269DC2" w14:textId="554B756D" w:rsidR="007A5AAF" w:rsidRDefault="00660964">
            <w:r>
              <w:t>Federal responsibility</w:t>
            </w:r>
          </w:p>
        </w:tc>
      </w:tr>
      <w:tr w:rsidR="007233B4" w14:paraId="275578C3" w14:textId="77777777" w:rsidTr="00DE59EF">
        <w:trPr>
          <w:trHeight w:val="349"/>
        </w:trPr>
        <w:tc>
          <w:tcPr>
            <w:tcW w:w="2193" w:type="dxa"/>
          </w:tcPr>
          <w:p w14:paraId="4CCFD57E" w14:textId="36AB4012" w:rsidR="007233B4" w:rsidRPr="000673E8" w:rsidRDefault="007233B4" w:rsidP="007233B4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t xml:space="preserve">7.28: Improve information about wages and the </w:t>
            </w:r>
            <w:r w:rsidRPr="000673E8">
              <w:rPr>
                <w:b/>
                <w:bCs/>
              </w:rPr>
              <w:lastRenderedPageBreak/>
              <w:t>Disability Support Pension</w:t>
            </w:r>
          </w:p>
        </w:tc>
        <w:tc>
          <w:tcPr>
            <w:tcW w:w="1431" w:type="dxa"/>
          </w:tcPr>
          <w:p w14:paraId="5C3E218E" w14:textId="630EE516" w:rsidR="007233B4" w:rsidRDefault="007233B4" w:rsidP="007233B4">
            <w:r>
              <w:lastRenderedPageBreak/>
              <w:t>Accept</w:t>
            </w:r>
          </w:p>
        </w:tc>
        <w:tc>
          <w:tcPr>
            <w:tcW w:w="1476" w:type="dxa"/>
          </w:tcPr>
          <w:p w14:paraId="569A3C2C" w14:textId="187102B8" w:rsidR="007233B4" w:rsidRDefault="007233B4" w:rsidP="007233B4">
            <w:r>
              <w:t>Federal responsibility</w:t>
            </w:r>
          </w:p>
        </w:tc>
        <w:tc>
          <w:tcPr>
            <w:tcW w:w="1480" w:type="dxa"/>
          </w:tcPr>
          <w:p w14:paraId="760339ED" w14:textId="42820A96" w:rsidR="007233B4" w:rsidRDefault="007233B4" w:rsidP="007233B4">
            <w:r>
              <w:t>Federal responsibility</w:t>
            </w:r>
          </w:p>
        </w:tc>
        <w:tc>
          <w:tcPr>
            <w:tcW w:w="1477" w:type="dxa"/>
          </w:tcPr>
          <w:p w14:paraId="74D2200C" w14:textId="11DCE9BF" w:rsidR="007233B4" w:rsidRDefault="007233B4" w:rsidP="007233B4">
            <w:r>
              <w:t>Federal responsibility</w:t>
            </w:r>
          </w:p>
        </w:tc>
        <w:tc>
          <w:tcPr>
            <w:tcW w:w="1470" w:type="dxa"/>
          </w:tcPr>
          <w:p w14:paraId="3C245C61" w14:textId="63000247" w:rsidR="007233B4" w:rsidRDefault="007233B4" w:rsidP="007233B4">
            <w:r>
              <w:t>Federal responsibility</w:t>
            </w:r>
          </w:p>
        </w:tc>
        <w:tc>
          <w:tcPr>
            <w:tcW w:w="1474" w:type="dxa"/>
          </w:tcPr>
          <w:p w14:paraId="59F8BDFE" w14:textId="126438FC" w:rsidR="007233B4" w:rsidRDefault="007233B4" w:rsidP="007233B4">
            <w:r>
              <w:t>Federal responsibility</w:t>
            </w:r>
          </w:p>
        </w:tc>
        <w:tc>
          <w:tcPr>
            <w:tcW w:w="1473" w:type="dxa"/>
          </w:tcPr>
          <w:p w14:paraId="369DA16D" w14:textId="29EAD132" w:rsidR="007233B4" w:rsidRDefault="007233B4" w:rsidP="007233B4">
            <w:r>
              <w:t>Federal responsibility</w:t>
            </w:r>
          </w:p>
        </w:tc>
        <w:tc>
          <w:tcPr>
            <w:tcW w:w="1474" w:type="dxa"/>
          </w:tcPr>
          <w:p w14:paraId="58469881" w14:textId="3068471A" w:rsidR="007233B4" w:rsidRDefault="007233B4" w:rsidP="007233B4">
            <w:r>
              <w:t>Federal responsibility</w:t>
            </w:r>
          </w:p>
        </w:tc>
      </w:tr>
      <w:tr w:rsidR="00660964" w14:paraId="53C25909" w14:textId="77777777" w:rsidTr="00DE59EF">
        <w:trPr>
          <w:trHeight w:val="349"/>
        </w:trPr>
        <w:tc>
          <w:tcPr>
            <w:tcW w:w="2193" w:type="dxa"/>
          </w:tcPr>
          <w:p w14:paraId="1D5E1126" w14:textId="72589093" w:rsidR="007A5AAF" w:rsidRPr="000673E8" w:rsidRDefault="00ED0EC4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t>7.30: Support the transition to inclusive employment</w:t>
            </w:r>
          </w:p>
        </w:tc>
        <w:tc>
          <w:tcPr>
            <w:tcW w:w="1431" w:type="dxa"/>
          </w:tcPr>
          <w:p w14:paraId="3CC494D4" w14:textId="5E1B22D9" w:rsidR="007A5AAF" w:rsidRDefault="00ED0EC4">
            <w:r>
              <w:t>Accept in principle</w:t>
            </w:r>
          </w:p>
        </w:tc>
        <w:tc>
          <w:tcPr>
            <w:tcW w:w="1476" w:type="dxa"/>
          </w:tcPr>
          <w:p w14:paraId="5C8E616E" w14:textId="44A36208" w:rsidR="007A5AAF" w:rsidRDefault="70C9F0CF">
            <w:r>
              <w:t>Federal responsibility</w:t>
            </w:r>
          </w:p>
        </w:tc>
        <w:tc>
          <w:tcPr>
            <w:tcW w:w="1480" w:type="dxa"/>
          </w:tcPr>
          <w:p w14:paraId="5D3C9FB0" w14:textId="05EE78C7" w:rsidR="007A5AAF" w:rsidRDefault="3525C606">
            <w:r>
              <w:t xml:space="preserve">Note </w:t>
            </w:r>
          </w:p>
        </w:tc>
        <w:tc>
          <w:tcPr>
            <w:tcW w:w="1477" w:type="dxa"/>
          </w:tcPr>
          <w:p w14:paraId="79C6FDE6" w14:textId="71D35D3D" w:rsidR="007A5AAF" w:rsidRDefault="00AD0BE6">
            <w:r>
              <w:t>Federal responsibility</w:t>
            </w:r>
          </w:p>
        </w:tc>
        <w:tc>
          <w:tcPr>
            <w:tcW w:w="1470" w:type="dxa"/>
          </w:tcPr>
          <w:p w14:paraId="62074E06" w14:textId="4FDB90CB" w:rsidR="007A5AAF" w:rsidRDefault="3525C606">
            <w:r>
              <w:t>Note</w:t>
            </w:r>
          </w:p>
        </w:tc>
        <w:tc>
          <w:tcPr>
            <w:tcW w:w="1474" w:type="dxa"/>
          </w:tcPr>
          <w:p w14:paraId="4D49248E" w14:textId="5D83AACB" w:rsidR="007A5AAF" w:rsidRDefault="00B3255F">
            <w:r>
              <w:t>No</w:t>
            </w:r>
            <w:r w:rsidR="002444A8">
              <w:t>te</w:t>
            </w:r>
          </w:p>
        </w:tc>
        <w:tc>
          <w:tcPr>
            <w:tcW w:w="1473" w:type="dxa"/>
          </w:tcPr>
          <w:p w14:paraId="0A0C3667" w14:textId="48C197E1" w:rsidR="007A5AAF" w:rsidRDefault="6C1112F0">
            <w:r>
              <w:t>Note</w:t>
            </w:r>
          </w:p>
        </w:tc>
        <w:tc>
          <w:tcPr>
            <w:tcW w:w="1474" w:type="dxa"/>
          </w:tcPr>
          <w:p w14:paraId="118FC697" w14:textId="4F68D2F8" w:rsidR="007A5AAF" w:rsidRDefault="0A5C6312">
            <w:r>
              <w:t>Noted</w:t>
            </w:r>
          </w:p>
        </w:tc>
      </w:tr>
      <w:tr w:rsidR="00660964" w14:paraId="3D602CBB" w14:textId="77777777" w:rsidTr="00DE59EF">
        <w:trPr>
          <w:trHeight w:val="349"/>
        </w:trPr>
        <w:tc>
          <w:tcPr>
            <w:tcW w:w="2193" w:type="dxa"/>
          </w:tcPr>
          <w:p w14:paraId="3172AF22" w14:textId="3143EC80" w:rsidR="007A5AAF" w:rsidRPr="000673E8" w:rsidRDefault="00ED0EC4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t>7.32: End segregated employment by 2034</w:t>
            </w:r>
          </w:p>
        </w:tc>
        <w:tc>
          <w:tcPr>
            <w:tcW w:w="1431" w:type="dxa"/>
          </w:tcPr>
          <w:p w14:paraId="17B5820C" w14:textId="1FFA37A4" w:rsidR="007A5AAF" w:rsidRDefault="00ED0EC4">
            <w:r>
              <w:t>Subject to further consideration</w:t>
            </w:r>
          </w:p>
        </w:tc>
        <w:tc>
          <w:tcPr>
            <w:tcW w:w="1476" w:type="dxa"/>
          </w:tcPr>
          <w:p w14:paraId="294ABFE8" w14:textId="20999BFD" w:rsidR="007A5AAF" w:rsidRDefault="29E42B05">
            <w:r>
              <w:t>Subject to further</w:t>
            </w:r>
            <w:r w:rsidR="20229D5E">
              <w:t xml:space="preserve"> </w:t>
            </w:r>
            <w:r w:rsidR="04F64066">
              <w:t>consideration</w:t>
            </w:r>
          </w:p>
        </w:tc>
        <w:tc>
          <w:tcPr>
            <w:tcW w:w="1480" w:type="dxa"/>
          </w:tcPr>
          <w:p w14:paraId="33B0EDF1" w14:textId="474FFB24" w:rsidR="007A5AAF" w:rsidRDefault="3525C606">
            <w:r w:rsidRPr="3525C606">
              <w:rPr>
                <w:rFonts w:ascii="Calibri" w:eastAsia="Calibri" w:hAnsi="Calibri" w:cs="Calibri"/>
              </w:rPr>
              <w:t>Subject to further consideration</w:t>
            </w:r>
          </w:p>
        </w:tc>
        <w:tc>
          <w:tcPr>
            <w:tcW w:w="1477" w:type="dxa"/>
          </w:tcPr>
          <w:p w14:paraId="25A4F50B" w14:textId="28F85799" w:rsidR="007A5AAF" w:rsidRDefault="00357A27">
            <w:r>
              <w:t>Subject to further consideration</w:t>
            </w:r>
          </w:p>
        </w:tc>
        <w:tc>
          <w:tcPr>
            <w:tcW w:w="1470" w:type="dxa"/>
          </w:tcPr>
          <w:p w14:paraId="44596D34" w14:textId="07AC7403" w:rsidR="007A5AAF" w:rsidRDefault="00CE5C67">
            <w:r>
              <w:t>Subject to further consideration</w:t>
            </w:r>
          </w:p>
        </w:tc>
        <w:tc>
          <w:tcPr>
            <w:tcW w:w="1474" w:type="dxa"/>
          </w:tcPr>
          <w:p w14:paraId="35BF454C" w14:textId="586303EB" w:rsidR="007A5AAF" w:rsidRDefault="003D42F0">
            <w:r>
              <w:t>Subject to further consideration</w:t>
            </w:r>
          </w:p>
        </w:tc>
        <w:tc>
          <w:tcPr>
            <w:tcW w:w="1473" w:type="dxa"/>
          </w:tcPr>
          <w:p w14:paraId="05D2538C" w14:textId="4DAD16A3" w:rsidR="007A5AAF" w:rsidRDefault="1AE03F78">
            <w:r>
              <w:t xml:space="preserve">Subject to further </w:t>
            </w:r>
            <w:r w:rsidR="36F1B18C">
              <w:t>consideration</w:t>
            </w:r>
          </w:p>
        </w:tc>
        <w:tc>
          <w:tcPr>
            <w:tcW w:w="1474" w:type="dxa"/>
          </w:tcPr>
          <w:p w14:paraId="70DBDAA7" w14:textId="7BC03C9F" w:rsidR="007A5AAF" w:rsidRDefault="0CAB2802">
            <w:r>
              <w:t xml:space="preserve">Subject to further </w:t>
            </w:r>
            <w:r w:rsidR="3C2E6F76">
              <w:t>consideration</w:t>
            </w:r>
          </w:p>
        </w:tc>
      </w:tr>
      <w:tr w:rsidR="00660964" w14:paraId="3BE241B2" w14:textId="77777777" w:rsidTr="00DE59EF">
        <w:trPr>
          <w:trHeight w:val="349"/>
        </w:trPr>
        <w:tc>
          <w:tcPr>
            <w:tcW w:w="2193" w:type="dxa"/>
            <w:shd w:val="clear" w:color="auto" w:fill="CCFF99"/>
          </w:tcPr>
          <w:p w14:paraId="290D68AE" w14:textId="0899272C" w:rsidR="007A5AAF" w:rsidRPr="00ED0EC4" w:rsidRDefault="00ED0EC4">
            <w:pPr>
              <w:rPr>
                <w:b/>
                <w:bCs/>
              </w:rPr>
            </w:pPr>
            <w:r w:rsidRPr="00ED0EC4">
              <w:rPr>
                <w:b/>
                <w:bCs/>
              </w:rPr>
              <w:t>Housing</w:t>
            </w:r>
          </w:p>
        </w:tc>
        <w:tc>
          <w:tcPr>
            <w:tcW w:w="1431" w:type="dxa"/>
            <w:shd w:val="clear" w:color="auto" w:fill="CCFF99"/>
          </w:tcPr>
          <w:p w14:paraId="0275949C" w14:textId="77777777" w:rsidR="007A5AAF" w:rsidRDefault="007A5AAF"/>
        </w:tc>
        <w:tc>
          <w:tcPr>
            <w:tcW w:w="1476" w:type="dxa"/>
            <w:shd w:val="clear" w:color="auto" w:fill="CCFF99"/>
          </w:tcPr>
          <w:p w14:paraId="73D2DD64" w14:textId="77777777" w:rsidR="007A5AAF" w:rsidRDefault="007A5AAF"/>
        </w:tc>
        <w:tc>
          <w:tcPr>
            <w:tcW w:w="1480" w:type="dxa"/>
            <w:shd w:val="clear" w:color="auto" w:fill="CCFF99"/>
          </w:tcPr>
          <w:p w14:paraId="7B84326C" w14:textId="77777777" w:rsidR="007A5AAF" w:rsidRDefault="007A5AAF"/>
        </w:tc>
        <w:tc>
          <w:tcPr>
            <w:tcW w:w="1477" w:type="dxa"/>
            <w:shd w:val="clear" w:color="auto" w:fill="CCFF99"/>
          </w:tcPr>
          <w:p w14:paraId="198F5C23" w14:textId="77777777" w:rsidR="007A5AAF" w:rsidRDefault="007A5AAF"/>
        </w:tc>
        <w:tc>
          <w:tcPr>
            <w:tcW w:w="1470" w:type="dxa"/>
            <w:shd w:val="clear" w:color="auto" w:fill="CCFF99"/>
          </w:tcPr>
          <w:p w14:paraId="2BCE6AC8" w14:textId="77777777" w:rsidR="007A5AAF" w:rsidRDefault="007A5AAF"/>
        </w:tc>
        <w:tc>
          <w:tcPr>
            <w:tcW w:w="1474" w:type="dxa"/>
            <w:shd w:val="clear" w:color="auto" w:fill="CCFF99"/>
          </w:tcPr>
          <w:p w14:paraId="28E339BF" w14:textId="77777777" w:rsidR="007A5AAF" w:rsidRDefault="007A5AAF"/>
        </w:tc>
        <w:tc>
          <w:tcPr>
            <w:tcW w:w="1473" w:type="dxa"/>
            <w:shd w:val="clear" w:color="auto" w:fill="CCFF99"/>
          </w:tcPr>
          <w:p w14:paraId="302B2BFB" w14:textId="77777777" w:rsidR="007A5AAF" w:rsidRDefault="007A5AAF"/>
        </w:tc>
        <w:tc>
          <w:tcPr>
            <w:tcW w:w="1474" w:type="dxa"/>
            <w:shd w:val="clear" w:color="auto" w:fill="CCFF99"/>
          </w:tcPr>
          <w:p w14:paraId="0342FCA0" w14:textId="77777777" w:rsidR="007A5AAF" w:rsidRDefault="007A5AAF"/>
        </w:tc>
      </w:tr>
      <w:tr w:rsidR="00DE7349" w14:paraId="5EF850F5" w14:textId="77777777" w:rsidTr="00DE59EF">
        <w:trPr>
          <w:trHeight w:val="349"/>
        </w:trPr>
        <w:tc>
          <w:tcPr>
            <w:tcW w:w="2193" w:type="dxa"/>
          </w:tcPr>
          <w:p w14:paraId="339B3999" w14:textId="5CD5969E" w:rsidR="00DE7349" w:rsidRPr="000673E8" w:rsidRDefault="00DE7349" w:rsidP="00DE7349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t>7:39: Preventing homelessness when people with disability transition from service or institutional settings</w:t>
            </w:r>
          </w:p>
        </w:tc>
        <w:tc>
          <w:tcPr>
            <w:tcW w:w="1431" w:type="dxa"/>
          </w:tcPr>
          <w:p w14:paraId="64FD78D3" w14:textId="34B216FF" w:rsidR="00DE7349" w:rsidRDefault="00DE7349" w:rsidP="00DE7349">
            <w:r>
              <w:t>Accept in principle</w:t>
            </w:r>
          </w:p>
        </w:tc>
        <w:tc>
          <w:tcPr>
            <w:tcW w:w="1476" w:type="dxa"/>
          </w:tcPr>
          <w:p w14:paraId="6E87D66D" w14:textId="1BD60B40" w:rsidR="00DE7349" w:rsidRDefault="55BD9331" w:rsidP="00DE7349">
            <w:r>
              <w:t>Accept in principle</w:t>
            </w:r>
          </w:p>
          <w:p w14:paraId="6B11131D" w14:textId="4D5BCD7E" w:rsidR="00DE7349" w:rsidRDefault="00DE7349" w:rsidP="00DE7349"/>
        </w:tc>
        <w:tc>
          <w:tcPr>
            <w:tcW w:w="1480" w:type="dxa"/>
          </w:tcPr>
          <w:p w14:paraId="09171EEC" w14:textId="48BEDF60" w:rsidR="00DE7349" w:rsidRDefault="3525C606" w:rsidP="00DE7349">
            <w:r>
              <w:t xml:space="preserve">Accept in principle </w:t>
            </w:r>
          </w:p>
        </w:tc>
        <w:tc>
          <w:tcPr>
            <w:tcW w:w="1477" w:type="dxa"/>
          </w:tcPr>
          <w:p w14:paraId="570A000D" w14:textId="3E4E04D9" w:rsidR="00DE7349" w:rsidRDefault="00952AA3" w:rsidP="00DE7349">
            <w:r>
              <w:t>Accept in principle</w:t>
            </w:r>
          </w:p>
        </w:tc>
        <w:tc>
          <w:tcPr>
            <w:tcW w:w="1470" w:type="dxa"/>
          </w:tcPr>
          <w:p w14:paraId="35B0D508" w14:textId="7F3CE1E0" w:rsidR="00DE7349" w:rsidRDefault="00DE7349" w:rsidP="00DE7349">
            <w:r>
              <w:t>Accept in principle</w:t>
            </w:r>
          </w:p>
        </w:tc>
        <w:tc>
          <w:tcPr>
            <w:tcW w:w="1474" w:type="dxa"/>
          </w:tcPr>
          <w:p w14:paraId="5BE9535E" w14:textId="2EB4F474" w:rsidR="00DE7349" w:rsidRDefault="00D903EB" w:rsidP="00DE7349">
            <w:r>
              <w:t>Accept in principle</w:t>
            </w:r>
          </w:p>
        </w:tc>
        <w:tc>
          <w:tcPr>
            <w:tcW w:w="1473" w:type="dxa"/>
          </w:tcPr>
          <w:p w14:paraId="39AD01B1" w14:textId="1BD60B40" w:rsidR="00DE7349" w:rsidRDefault="57DEED87" w:rsidP="00DE7349">
            <w:r>
              <w:t>Accept in principle</w:t>
            </w:r>
          </w:p>
          <w:p w14:paraId="21303795" w14:textId="4150746F" w:rsidR="00DE7349" w:rsidRDefault="00DE7349" w:rsidP="00DE7349"/>
        </w:tc>
        <w:tc>
          <w:tcPr>
            <w:tcW w:w="1474" w:type="dxa"/>
          </w:tcPr>
          <w:p w14:paraId="6422600D" w14:textId="1BD60B40" w:rsidR="00DE7349" w:rsidRDefault="61DA41C4" w:rsidP="00DE7349">
            <w:r>
              <w:t>Accept in principle</w:t>
            </w:r>
          </w:p>
          <w:p w14:paraId="51D12153" w14:textId="6356C2AE" w:rsidR="00DE7349" w:rsidRDefault="00DE7349" w:rsidP="00DE7349"/>
        </w:tc>
      </w:tr>
      <w:tr w:rsidR="003337C3" w14:paraId="14E7EDF8" w14:textId="77777777" w:rsidTr="00DE59EF">
        <w:trPr>
          <w:trHeight w:val="349"/>
        </w:trPr>
        <w:tc>
          <w:tcPr>
            <w:tcW w:w="2193" w:type="dxa"/>
          </w:tcPr>
          <w:p w14:paraId="57BB41A8" w14:textId="6A132C1C" w:rsidR="003337C3" w:rsidRPr="000673E8" w:rsidRDefault="003337C3" w:rsidP="003337C3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t>7:42: Improve access to alternative housing options</w:t>
            </w:r>
          </w:p>
        </w:tc>
        <w:tc>
          <w:tcPr>
            <w:tcW w:w="1431" w:type="dxa"/>
          </w:tcPr>
          <w:p w14:paraId="45D2BC4C" w14:textId="2BD6F38E" w:rsidR="003337C3" w:rsidRDefault="003337C3" w:rsidP="003337C3">
            <w:r>
              <w:t>Accept in principle</w:t>
            </w:r>
          </w:p>
        </w:tc>
        <w:tc>
          <w:tcPr>
            <w:tcW w:w="1476" w:type="dxa"/>
          </w:tcPr>
          <w:p w14:paraId="1E8B7001" w14:textId="1BD60B40" w:rsidR="003337C3" w:rsidRDefault="50E97DEF" w:rsidP="003337C3">
            <w:r>
              <w:t>Accept in principle</w:t>
            </w:r>
          </w:p>
          <w:p w14:paraId="408E8986" w14:textId="77777777" w:rsidR="003337C3" w:rsidRDefault="003337C3" w:rsidP="003337C3"/>
        </w:tc>
        <w:tc>
          <w:tcPr>
            <w:tcW w:w="1480" w:type="dxa"/>
          </w:tcPr>
          <w:p w14:paraId="373EB252" w14:textId="699E76B4" w:rsidR="003337C3" w:rsidRDefault="3525C606" w:rsidP="003337C3">
            <w:r>
              <w:t xml:space="preserve">Accept in principle </w:t>
            </w:r>
          </w:p>
        </w:tc>
        <w:tc>
          <w:tcPr>
            <w:tcW w:w="1477" w:type="dxa"/>
          </w:tcPr>
          <w:p w14:paraId="7B4BC90E" w14:textId="7F97B1D6" w:rsidR="003337C3" w:rsidRDefault="00690BF7" w:rsidP="003337C3">
            <w:r>
              <w:t>Subject to further consideration</w:t>
            </w:r>
          </w:p>
        </w:tc>
        <w:tc>
          <w:tcPr>
            <w:tcW w:w="1470" w:type="dxa"/>
          </w:tcPr>
          <w:p w14:paraId="256D130D" w14:textId="12FFF671" w:rsidR="003337C3" w:rsidRDefault="003337C3" w:rsidP="003337C3">
            <w:r>
              <w:t>Accept in principle</w:t>
            </w:r>
          </w:p>
        </w:tc>
        <w:tc>
          <w:tcPr>
            <w:tcW w:w="1474" w:type="dxa"/>
          </w:tcPr>
          <w:p w14:paraId="6480A207" w14:textId="1AD44FCC" w:rsidR="003337C3" w:rsidRDefault="000F4664" w:rsidP="003337C3">
            <w:r>
              <w:t>Accept in principle</w:t>
            </w:r>
          </w:p>
        </w:tc>
        <w:tc>
          <w:tcPr>
            <w:tcW w:w="1473" w:type="dxa"/>
          </w:tcPr>
          <w:p w14:paraId="72601638" w14:textId="1BD60B40" w:rsidR="003337C3" w:rsidRDefault="2BA4705B" w:rsidP="003337C3">
            <w:r>
              <w:t>Accept in principle</w:t>
            </w:r>
          </w:p>
          <w:p w14:paraId="35D4CB3F" w14:textId="7CB5F8C2" w:rsidR="003337C3" w:rsidRDefault="003337C3" w:rsidP="003337C3"/>
        </w:tc>
        <w:tc>
          <w:tcPr>
            <w:tcW w:w="1474" w:type="dxa"/>
          </w:tcPr>
          <w:p w14:paraId="1B987FCB" w14:textId="1BD60B40" w:rsidR="003337C3" w:rsidRDefault="10A18AB2" w:rsidP="003337C3">
            <w:r>
              <w:t>Accept in principle</w:t>
            </w:r>
          </w:p>
          <w:p w14:paraId="3F860E86" w14:textId="5610C4BD" w:rsidR="003337C3" w:rsidRDefault="003337C3" w:rsidP="003337C3"/>
        </w:tc>
      </w:tr>
      <w:tr w:rsidR="003337C3" w14:paraId="1BFBAD8D" w14:textId="77777777" w:rsidTr="00DE59EF">
        <w:trPr>
          <w:trHeight w:val="349"/>
        </w:trPr>
        <w:tc>
          <w:tcPr>
            <w:tcW w:w="2193" w:type="dxa"/>
            <w:shd w:val="clear" w:color="auto" w:fill="CCFF99"/>
          </w:tcPr>
          <w:p w14:paraId="56B57D47" w14:textId="383B9B6F" w:rsidR="003337C3" w:rsidRPr="00ED0EC4" w:rsidRDefault="003337C3" w:rsidP="003337C3">
            <w:pPr>
              <w:rPr>
                <w:b/>
                <w:bCs/>
              </w:rPr>
            </w:pPr>
            <w:r w:rsidRPr="00ED0EC4">
              <w:rPr>
                <w:b/>
                <w:bCs/>
              </w:rPr>
              <w:t>Criminal justice</w:t>
            </w:r>
          </w:p>
        </w:tc>
        <w:tc>
          <w:tcPr>
            <w:tcW w:w="1431" w:type="dxa"/>
            <w:shd w:val="clear" w:color="auto" w:fill="CCFF99"/>
          </w:tcPr>
          <w:p w14:paraId="0B9400DC" w14:textId="77777777" w:rsidR="003337C3" w:rsidRDefault="003337C3" w:rsidP="003337C3"/>
        </w:tc>
        <w:tc>
          <w:tcPr>
            <w:tcW w:w="1476" w:type="dxa"/>
            <w:shd w:val="clear" w:color="auto" w:fill="CCFF99"/>
          </w:tcPr>
          <w:p w14:paraId="47F1B942" w14:textId="77777777" w:rsidR="003337C3" w:rsidRDefault="003337C3" w:rsidP="003337C3"/>
        </w:tc>
        <w:tc>
          <w:tcPr>
            <w:tcW w:w="1480" w:type="dxa"/>
            <w:shd w:val="clear" w:color="auto" w:fill="CCFF99"/>
          </w:tcPr>
          <w:p w14:paraId="1F5D01CE" w14:textId="77777777" w:rsidR="003337C3" w:rsidRDefault="003337C3" w:rsidP="003337C3"/>
        </w:tc>
        <w:tc>
          <w:tcPr>
            <w:tcW w:w="1477" w:type="dxa"/>
            <w:shd w:val="clear" w:color="auto" w:fill="CCFF99"/>
          </w:tcPr>
          <w:p w14:paraId="4E1AF3BB" w14:textId="77777777" w:rsidR="003337C3" w:rsidRDefault="003337C3" w:rsidP="003337C3"/>
        </w:tc>
        <w:tc>
          <w:tcPr>
            <w:tcW w:w="1470" w:type="dxa"/>
            <w:shd w:val="clear" w:color="auto" w:fill="CCFF99"/>
          </w:tcPr>
          <w:p w14:paraId="7B053A1A" w14:textId="77777777" w:rsidR="003337C3" w:rsidRDefault="003337C3" w:rsidP="003337C3"/>
        </w:tc>
        <w:tc>
          <w:tcPr>
            <w:tcW w:w="1474" w:type="dxa"/>
            <w:shd w:val="clear" w:color="auto" w:fill="CCFF99"/>
          </w:tcPr>
          <w:p w14:paraId="1292EA3D" w14:textId="77777777" w:rsidR="003337C3" w:rsidRDefault="003337C3" w:rsidP="003337C3"/>
        </w:tc>
        <w:tc>
          <w:tcPr>
            <w:tcW w:w="1473" w:type="dxa"/>
            <w:shd w:val="clear" w:color="auto" w:fill="CCFF99"/>
          </w:tcPr>
          <w:p w14:paraId="2930E421" w14:textId="77777777" w:rsidR="003337C3" w:rsidRDefault="003337C3" w:rsidP="003337C3"/>
        </w:tc>
        <w:tc>
          <w:tcPr>
            <w:tcW w:w="1474" w:type="dxa"/>
            <w:shd w:val="clear" w:color="auto" w:fill="CCFF99"/>
          </w:tcPr>
          <w:p w14:paraId="53AC81C8" w14:textId="77777777" w:rsidR="003337C3" w:rsidRDefault="003337C3" w:rsidP="003337C3"/>
        </w:tc>
      </w:tr>
      <w:tr w:rsidR="00EA7C38" w14:paraId="36CB69EC" w14:textId="77777777" w:rsidTr="00DE59EF">
        <w:trPr>
          <w:trHeight w:val="349"/>
        </w:trPr>
        <w:tc>
          <w:tcPr>
            <w:tcW w:w="2193" w:type="dxa"/>
          </w:tcPr>
          <w:p w14:paraId="25EFEF34" w14:textId="0BB85EF9" w:rsidR="00EA7C38" w:rsidRPr="000673E8" w:rsidRDefault="00EA7C38" w:rsidP="003337C3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t>8.3: Prohibiting solitary confinement in youth detention</w:t>
            </w:r>
          </w:p>
        </w:tc>
        <w:tc>
          <w:tcPr>
            <w:tcW w:w="1431" w:type="dxa"/>
          </w:tcPr>
          <w:p w14:paraId="00B8611B" w14:textId="66BF9C6D" w:rsidR="00EA7C38" w:rsidRPr="00EA7C38" w:rsidRDefault="00EA7C38" w:rsidP="003337C3">
            <w:r>
              <w:t>State responsibility</w:t>
            </w:r>
          </w:p>
        </w:tc>
        <w:tc>
          <w:tcPr>
            <w:tcW w:w="1476" w:type="dxa"/>
          </w:tcPr>
          <w:p w14:paraId="5A83F495" w14:textId="127E891F" w:rsidR="00EA7C38" w:rsidRPr="00EA7C38" w:rsidRDefault="567719ED" w:rsidP="003337C3">
            <w:r>
              <w:t>Accept in principle</w:t>
            </w:r>
          </w:p>
          <w:p w14:paraId="3C71F9AA" w14:textId="19AB7120" w:rsidR="00EA7C38" w:rsidRPr="00EA7C38" w:rsidRDefault="00EA7C38" w:rsidP="003337C3"/>
        </w:tc>
        <w:tc>
          <w:tcPr>
            <w:tcW w:w="1480" w:type="dxa"/>
          </w:tcPr>
          <w:p w14:paraId="7B83B2B7" w14:textId="24748D98" w:rsidR="00EA7C38" w:rsidRPr="00EA7C38" w:rsidRDefault="3525C606" w:rsidP="003337C3">
            <w:r>
              <w:t xml:space="preserve">Accept in part </w:t>
            </w:r>
          </w:p>
        </w:tc>
        <w:tc>
          <w:tcPr>
            <w:tcW w:w="1477" w:type="dxa"/>
          </w:tcPr>
          <w:p w14:paraId="066C187C" w14:textId="1C7D65D7" w:rsidR="00EA7C38" w:rsidRPr="00EA7C38" w:rsidRDefault="007656A7" w:rsidP="003337C3">
            <w:r>
              <w:t>Subject to further consideration</w:t>
            </w:r>
          </w:p>
        </w:tc>
        <w:tc>
          <w:tcPr>
            <w:tcW w:w="1470" w:type="dxa"/>
          </w:tcPr>
          <w:p w14:paraId="7BF40637" w14:textId="64980F90" w:rsidR="00EA7C38" w:rsidRPr="00EA7C38" w:rsidRDefault="007E17A6" w:rsidP="003337C3">
            <w:r>
              <w:t>Accept in principle</w:t>
            </w:r>
          </w:p>
        </w:tc>
        <w:tc>
          <w:tcPr>
            <w:tcW w:w="1474" w:type="dxa"/>
          </w:tcPr>
          <w:p w14:paraId="5B9F5C85" w14:textId="7BB71D0D" w:rsidR="00EA7C38" w:rsidRPr="00EA7C38" w:rsidRDefault="00035578" w:rsidP="003337C3">
            <w:r>
              <w:t>Accept</w:t>
            </w:r>
          </w:p>
        </w:tc>
        <w:tc>
          <w:tcPr>
            <w:tcW w:w="1473" w:type="dxa"/>
          </w:tcPr>
          <w:p w14:paraId="0BAD53EE" w14:textId="127A258A" w:rsidR="00EA7C38" w:rsidRPr="00EA7C38" w:rsidRDefault="54BE7761" w:rsidP="003337C3">
            <w:r>
              <w:t>Accept</w:t>
            </w:r>
          </w:p>
        </w:tc>
        <w:tc>
          <w:tcPr>
            <w:tcW w:w="1474" w:type="dxa"/>
          </w:tcPr>
          <w:p w14:paraId="3DFC359F" w14:textId="1BD60B40" w:rsidR="00EA7C38" w:rsidRPr="00EA7C38" w:rsidRDefault="0A9E1B02" w:rsidP="003337C3">
            <w:r>
              <w:t>Accept in principle</w:t>
            </w:r>
          </w:p>
          <w:p w14:paraId="13797D5F" w14:textId="38D49377" w:rsidR="00EA7C38" w:rsidRPr="00EA7C38" w:rsidRDefault="00EA7C38" w:rsidP="003337C3"/>
        </w:tc>
      </w:tr>
      <w:tr w:rsidR="003337C3" w14:paraId="1D6FDBCF" w14:textId="77777777" w:rsidTr="00DE59EF">
        <w:trPr>
          <w:trHeight w:val="349"/>
        </w:trPr>
        <w:tc>
          <w:tcPr>
            <w:tcW w:w="2193" w:type="dxa"/>
          </w:tcPr>
          <w:p w14:paraId="5786550A" w14:textId="5E1FF4B3" w:rsidR="003337C3" w:rsidRPr="000673E8" w:rsidRDefault="003337C3" w:rsidP="003337C3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t>8.18: Timing of NDIA-funded transition supports</w:t>
            </w:r>
          </w:p>
        </w:tc>
        <w:tc>
          <w:tcPr>
            <w:tcW w:w="1431" w:type="dxa"/>
          </w:tcPr>
          <w:p w14:paraId="57795332" w14:textId="4390AACF" w:rsidR="003337C3" w:rsidRDefault="003337C3" w:rsidP="003337C3">
            <w:r>
              <w:t>Accept</w:t>
            </w:r>
          </w:p>
        </w:tc>
        <w:tc>
          <w:tcPr>
            <w:tcW w:w="1476" w:type="dxa"/>
          </w:tcPr>
          <w:p w14:paraId="64799AF3" w14:textId="63EAF234" w:rsidR="003337C3" w:rsidRDefault="2C2CA2A5" w:rsidP="003337C3">
            <w:r>
              <w:t>Federal responsibility</w:t>
            </w:r>
          </w:p>
        </w:tc>
        <w:tc>
          <w:tcPr>
            <w:tcW w:w="1480" w:type="dxa"/>
          </w:tcPr>
          <w:p w14:paraId="283A4ACC" w14:textId="6D2EDAFA" w:rsidR="003337C3" w:rsidRDefault="3525C606" w:rsidP="003337C3">
            <w:r>
              <w:t xml:space="preserve">Note </w:t>
            </w:r>
          </w:p>
        </w:tc>
        <w:tc>
          <w:tcPr>
            <w:tcW w:w="1477" w:type="dxa"/>
          </w:tcPr>
          <w:p w14:paraId="5F544AE0" w14:textId="295F1B43" w:rsidR="003337C3" w:rsidRDefault="0095321B" w:rsidP="003337C3">
            <w:r>
              <w:t>Federal responsibility</w:t>
            </w:r>
          </w:p>
        </w:tc>
        <w:tc>
          <w:tcPr>
            <w:tcW w:w="1470" w:type="dxa"/>
          </w:tcPr>
          <w:p w14:paraId="3FC95A40" w14:textId="390B95FA" w:rsidR="003337C3" w:rsidRDefault="00E92456" w:rsidP="003337C3">
            <w:r>
              <w:t>Federal responsibility</w:t>
            </w:r>
          </w:p>
        </w:tc>
        <w:tc>
          <w:tcPr>
            <w:tcW w:w="1474" w:type="dxa"/>
          </w:tcPr>
          <w:p w14:paraId="2A983227" w14:textId="7E16DD65" w:rsidR="003337C3" w:rsidRDefault="00AD2E81" w:rsidP="003337C3">
            <w:r>
              <w:t>Note</w:t>
            </w:r>
          </w:p>
        </w:tc>
        <w:tc>
          <w:tcPr>
            <w:tcW w:w="1473" w:type="dxa"/>
          </w:tcPr>
          <w:p w14:paraId="2BC8C109" w14:textId="5EB88E95" w:rsidR="003337C3" w:rsidRDefault="3B943023" w:rsidP="003337C3">
            <w:r>
              <w:t>Note</w:t>
            </w:r>
          </w:p>
        </w:tc>
        <w:tc>
          <w:tcPr>
            <w:tcW w:w="1474" w:type="dxa"/>
          </w:tcPr>
          <w:p w14:paraId="4FA238F5" w14:textId="09F4D66F" w:rsidR="003337C3" w:rsidRDefault="53A209B5" w:rsidP="003337C3">
            <w:r>
              <w:t>Noted</w:t>
            </w:r>
          </w:p>
        </w:tc>
      </w:tr>
      <w:tr w:rsidR="003337C3" w14:paraId="32528B77" w14:textId="77777777" w:rsidTr="00DE59EF">
        <w:trPr>
          <w:trHeight w:val="349"/>
        </w:trPr>
        <w:tc>
          <w:tcPr>
            <w:tcW w:w="2193" w:type="dxa"/>
          </w:tcPr>
          <w:p w14:paraId="3E38F473" w14:textId="79501D5B" w:rsidR="003337C3" w:rsidRPr="000673E8" w:rsidRDefault="003337C3" w:rsidP="003337C3">
            <w:pPr>
              <w:rPr>
                <w:b/>
                <w:bCs/>
              </w:rPr>
            </w:pPr>
            <w:r w:rsidRPr="000673E8">
              <w:rPr>
                <w:b/>
                <w:bCs/>
              </w:rPr>
              <w:t>8.23: Action plan to end violence against women and children with disability</w:t>
            </w:r>
          </w:p>
        </w:tc>
        <w:tc>
          <w:tcPr>
            <w:tcW w:w="1431" w:type="dxa"/>
          </w:tcPr>
          <w:p w14:paraId="2A06A264" w14:textId="6AB6FF6D" w:rsidR="003337C3" w:rsidRDefault="003337C3" w:rsidP="003337C3">
            <w:r>
              <w:t>Accept in principle</w:t>
            </w:r>
          </w:p>
        </w:tc>
        <w:tc>
          <w:tcPr>
            <w:tcW w:w="1476" w:type="dxa"/>
          </w:tcPr>
          <w:p w14:paraId="2B4DA197" w14:textId="1BD60B40" w:rsidR="003337C3" w:rsidRDefault="67681CBF" w:rsidP="003337C3">
            <w:r>
              <w:t>Accept in principle</w:t>
            </w:r>
          </w:p>
          <w:p w14:paraId="5B909C29" w14:textId="15AE39EC" w:rsidR="003337C3" w:rsidRDefault="003337C3" w:rsidP="003337C3"/>
        </w:tc>
        <w:tc>
          <w:tcPr>
            <w:tcW w:w="1480" w:type="dxa"/>
          </w:tcPr>
          <w:p w14:paraId="55C3B5D2" w14:textId="592E67D9" w:rsidR="003337C3" w:rsidRDefault="3525C606" w:rsidP="003337C3">
            <w:r>
              <w:t xml:space="preserve">Accept in principle </w:t>
            </w:r>
          </w:p>
        </w:tc>
        <w:tc>
          <w:tcPr>
            <w:tcW w:w="1477" w:type="dxa"/>
          </w:tcPr>
          <w:p w14:paraId="50232CD4" w14:textId="65E89E5A" w:rsidR="003337C3" w:rsidRDefault="006906F6" w:rsidP="003337C3">
            <w:r>
              <w:t>Accept in principle</w:t>
            </w:r>
          </w:p>
        </w:tc>
        <w:tc>
          <w:tcPr>
            <w:tcW w:w="1470" w:type="dxa"/>
          </w:tcPr>
          <w:p w14:paraId="707B9E4C" w14:textId="3899F7A1" w:rsidR="003337C3" w:rsidRDefault="004479DF" w:rsidP="003337C3">
            <w:r>
              <w:t>Accept in principle</w:t>
            </w:r>
          </w:p>
        </w:tc>
        <w:tc>
          <w:tcPr>
            <w:tcW w:w="1474" w:type="dxa"/>
          </w:tcPr>
          <w:p w14:paraId="5174CF48" w14:textId="3DDBAAFB" w:rsidR="003337C3" w:rsidRDefault="004479DF" w:rsidP="003337C3">
            <w:r>
              <w:t>Accept in principle</w:t>
            </w:r>
          </w:p>
        </w:tc>
        <w:tc>
          <w:tcPr>
            <w:tcW w:w="1473" w:type="dxa"/>
          </w:tcPr>
          <w:p w14:paraId="63E851B1" w14:textId="1BD60B40" w:rsidR="003337C3" w:rsidRDefault="5E1A1BF1" w:rsidP="003337C3">
            <w:r>
              <w:t>Accept in principle</w:t>
            </w:r>
          </w:p>
          <w:p w14:paraId="0940D8CC" w14:textId="1B21594D" w:rsidR="003337C3" w:rsidRDefault="003337C3" w:rsidP="003337C3"/>
        </w:tc>
        <w:tc>
          <w:tcPr>
            <w:tcW w:w="1474" w:type="dxa"/>
          </w:tcPr>
          <w:p w14:paraId="503BF85F" w14:textId="1BD60B40" w:rsidR="003337C3" w:rsidRDefault="48096132" w:rsidP="003337C3">
            <w:r>
              <w:t>Accept in principle</w:t>
            </w:r>
          </w:p>
          <w:p w14:paraId="17C9C335" w14:textId="398B1BDD" w:rsidR="003337C3" w:rsidRDefault="003337C3" w:rsidP="003337C3"/>
        </w:tc>
      </w:tr>
      <w:tr w:rsidR="00DE59EF" w14:paraId="547EEFC5" w14:textId="77777777" w:rsidTr="00DE59EF">
        <w:trPr>
          <w:trHeight w:val="349"/>
        </w:trPr>
        <w:tc>
          <w:tcPr>
            <w:tcW w:w="2193" w:type="dxa"/>
            <w:shd w:val="clear" w:color="auto" w:fill="CCFE99"/>
          </w:tcPr>
          <w:p w14:paraId="28AC95C6" w14:textId="248F26BB" w:rsidR="00DE59EF" w:rsidRDefault="00DE59EF" w:rsidP="00DE59EF">
            <w:pPr>
              <w:rPr>
                <w:b/>
                <w:bCs/>
              </w:rPr>
            </w:pPr>
            <w:r w:rsidRPr="00DE59EF">
              <w:rPr>
                <w:b/>
                <w:bCs/>
              </w:rPr>
              <w:t>Restrictive practices</w:t>
            </w:r>
          </w:p>
        </w:tc>
        <w:tc>
          <w:tcPr>
            <w:tcW w:w="1431" w:type="dxa"/>
            <w:shd w:val="clear" w:color="auto" w:fill="CCFE99"/>
          </w:tcPr>
          <w:p w14:paraId="456F42AB" w14:textId="66A73E3D" w:rsidR="00DE59EF" w:rsidRDefault="00DE59EF" w:rsidP="00DE59EF"/>
        </w:tc>
        <w:tc>
          <w:tcPr>
            <w:tcW w:w="1476" w:type="dxa"/>
            <w:shd w:val="clear" w:color="auto" w:fill="CCFE99"/>
          </w:tcPr>
          <w:p w14:paraId="722C9EA1" w14:textId="4C245CC8" w:rsidR="00DE59EF" w:rsidRDefault="00DE59EF" w:rsidP="00DE59EF"/>
        </w:tc>
        <w:tc>
          <w:tcPr>
            <w:tcW w:w="1480" w:type="dxa"/>
            <w:shd w:val="clear" w:color="auto" w:fill="CCFE99"/>
          </w:tcPr>
          <w:p w14:paraId="19AA4E1B" w14:textId="3CCA25AA" w:rsidR="00DE59EF" w:rsidRDefault="00DE59EF" w:rsidP="00DE59EF"/>
        </w:tc>
        <w:tc>
          <w:tcPr>
            <w:tcW w:w="1477" w:type="dxa"/>
            <w:shd w:val="clear" w:color="auto" w:fill="CCFE99"/>
          </w:tcPr>
          <w:p w14:paraId="34D7654C" w14:textId="7D85E868" w:rsidR="00DE59EF" w:rsidRDefault="00DE59EF" w:rsidP="00DE59EF"/>
        </w:tc>
        <w:tc>
          <w:tcPr>
            <w:tcW w:w="1470" w:type="dxa"/>
            <w:shd w:val="clear" w:color="auto" w:fill="CCFE99"/>
          </w:tcPr>
          <w:p w14:paraId="3694814F" w14:textId="528D33B0" w:rsidR="00DE59EF" w:rsidRDefault="00DE59EF" w:rsidP="00DE59EF"/>
        </w:tc>
        <w:tc>
          <w:tcPr>
            <w:tcW w:w="1474" w:type="dxa"/>
            <w:shd w:val="clear" w:color="auto" w:fill="CCFE99"/>
          </w:tcPr>
          <w:p w14:paraId="0A3D552B" w14:textId="0C38DE5E" w:rsidR="00DE59EF" w:rsidRDefault="00DE59EF" w:rsidP="00DE59EF"/>
        </w:tc>
        <w:tc>
          <w:tcPr>
            <w:tcW w:w="1473" w:type="dxa"/>
            <w:shd w:val="clear" w:color="auto" w:fill="CCFE99"/>
          </w:tcPr>
          <w:p w14:paraId="7B4DF7CF" w14:textId="3E087A40" w:rsidR="00DE59EF" w:rsidRDefault="00DE59EF" w:rsidP="00DE59EF"/>
        </w:tc>
        <w:tc>
          <w:tcPr>
            <w:tcW w:w="1474" w:type="dxa"/>
            <w:shd w:val="clear" w:color="auto" w:fill="CCFE99"/>
          </w:tcPr>
          <w:p w14:paraId="34C98AF1" w14:textId="1326BFC6" w:rsidR="00DE59EF" w:rsidRDefault="00DE59EF" w:rsidP="00DE59EF"/>
        </w:tc>
      </w:tr>
      <w:tr w:rsidR="00DE59EF" w14:paraId="7278A97E" w14:textId="77777777" w:rsidTr="00DE59EF">
        <w:trPr>
          <w:trHeight w:val="349"/>
        </w:trPr>
        <w:tc>
          <w:tcPr>
            <w:tcW w:w="2193" w:type="dxa"/>
          </w:tcPr>
          <w:p w14:paraId="0B6783BF" w14:textId="659E982D" w:rsidR="00DE59EF" w:rsidRDefault="00DE59EF" w:rsidP="00DE59EF">
            <w:pPr>
              <w:rPr>
                <w:b/>
                <w:bCs/>
              </w:rPr>
            </w:pPr>
            <w:r w:rsidRPr="00DE59EF">
              <w:rPr>
                <w:b/>
                <w:bCs/>
              </w:rPr>
              <w:lastRenderedPageBreak/>
              <w:t>6.35: Legal frameworks for authorisation, review and oversight of RP</w:t>
            </w:r>
          </w:p>
        </w:tc>
        <w:tc>
          <w:tcPr>
            <w:tcW w:w="1431" w:type="dxa"/>
          </w:tcPr>
          <w:p w14:paraId="4A79F73F" w14:textId="05C6A0A7" w:rsidR="00DE59EF" w:rsidRDefault="00DE59EF" w:rsidP="00DE59EF">
            <w:r>
              <w:t>State responsibility</w:t>
            </w:r>
          </w:p>
        </w:tc>
        <w:tc>
          <w:tcPr>
            <w:tcW w:w="1476" w:type="dxa"/>
          </w:tcPr>
          <w:p w14:paraId="15AD135B" w14:textId="56A309B3" w:rsidR="00DE59EF" w:rsidRDefault="00DE59EF" w:rsidP="00DE59EF">
            <w:r>
              <w:t>Accept in principle</w:t>
            </w:r>
          </w:p>
          <w:p w14:paraId="3D4509AC" w14:textId="5588784D" w:rsidR="00DE59EF" w:rsidRDefault="00DE59EF" w:rsidP="00DE59EF"/>
        </w:tc>
        <w:tc>
          <w:tcPr>
            <w:tcW w:w="1480" w:type="dxa"/>
          </w:tcPr>
          <w:p w14:paraId="24C598F5" w14:textId="70000EE9" w:rsidR="00DE59EF" w:rsidRDefault="00DE59EF" w:rsidP="00DE59EF">
            <w:r>
              <w:t>Subject to further consideration</w:t>
            </w:r>
          </w:p>
        </w:tc>
        <w:tc>
          <w:tcPr>
            <w:tcW w:w="1477" w:type="dxa"/>
          </w:tcPr>
          <w:p w14:paraId="7B610DA8" w14:textId="56A309B3" w:rsidR="00DE59EF" w:rsidRDefault="00DE59EF" w:rsidP="00DE59EF">
            <w:r>
              <w:t>Accept in principle</w:t>
            </w:r>
          </w:p>
          <w:p w14:paraId="37D048FB" w14:textId="0CED03B3" w:rsidR="00DE59EF" w:rsidRDefault="00DE59EF" w:rsidP="00DE59EF"/>
        </w:tc>
        <w:tc>
          <w:tcPr>
            <w:tcW w:w="1470" w:type="dxa"/>
          </w:tcPr>
          <w:p w14:paraId="3F6FF5CA" w14:textId="56A309B3" w:rsidR="00DE59EF" w:rsidRDefault="00DE59EF" w:rsidP="00DE59EF">
            <w:r>
              <w:t>Accept in principle</w:t>
            </w:r>
          </w:p>
          <w:p w14:paraId="33CF5ABF" w14:textId="5C0F3512" w:rsidR="00DE59EF" w:rsidRDefault="00DE59EF" w:rsidP="00DE59EF"/>
        </w:tc>
        <w:tc>
          <w:tcPr>
            <w:tcW w:w="1474" w:type="dxa"/>
          </w:tcPr>
          <w:p w14:paraId="1D6377FE" w14:textId="56A309B3" w:rsidR="00DE59EF" w:rsidRDefault="00DE59EF" w:rsidP="00DE59EF">
            <w:r>
              <w:t>Accept in principle</w:t>
            </w:r>
          </w:p>
          <w:p w14:paraId="23230F61" w14:textId="0C5D1246" w:rsidR="00DE59EF" w:rsidRDefault="00DE59EF" w:rsidP="00DE59EF"/>
        </w:tc>
        <w:tc>
          <w:tcPr>
            <w:tcW w:w="1473" w:type="dxa"/>
          </w:tcPr>
          <w:p w14:paraId="7CE250DC" w14:textId="79063213" w:rsidR="00DE59EF" w:rsidRDefault="00DE59EF" w:rsidP="00DE59EF">
            <w:r>
              <w:t>Accept in part</w:t>
            </w:r>
          </w:p>
        </w:tc>
        <w:tc>
          <w:tcPr>
            <w:tcW w:w="1474" w:type="dxa"/>
          </w:tcPr>
          <w:p w14:paraId="759EE2C4" w14:textId="56A309B3" w:rsidR="00DE59EF" w:rsidRDefault="00DE59EF" w:rsidP="00DE59EF">
            <w:r>
              <w:t>Accept in principle</w:t>
            </w:r>
          </w:p>
          <w:p w14:paraId="3FEDA46C" w14:textId="3EDB62AF" w:rsidR="00DE59EF" w:rsidRDefault="00DE59EF" w:rsidP="00DE59EF"/>
        </w:tc>
      </w:tr>
      <w:tr w:rsidR="00DE59EF" w14:paraId="0117FDFB" w14:textId="77777777" w:rsidTr="00DE59EF">
        <w:trPr>
          <w:trHeight w:val="349"/>
        </w:trPr>
        <w:tc>
          <w:tcPr>
            <w:tcW w:w="2193" w:type="dxa"/>
          </w:tcPr>
          <w:p w14:paraId="3838BFA0" w14:textId="47BDBB4D" w:rsidR="00DE59EF" w:rsidRDefault="00DE59EF" w:rsidP="00DE59EF">
            <w:pPr>
              <w:rPr>
                <w:b/>
                <w:bCs/>
              </w:rPr>
            </w:pPr>
            <w:r w:rsidRPr="00DE59EF">
              <w:rPr>
                <w:b/>
                <w:bCs/>
              </w:rPr>
              <w:t>6.36: Immediate action to provide that certain RP must not be used</w:t>
            </w:r>
          </w:p>
        </w:tc>
        <w:tc>
          <w:tcPr>
            <w:tcW w:w="1431" w:type="dxa"/>
          </w:tcPr>
          <w:p w14:paraId="0C2B1E7F" w14:textId="74331D02" w:rsidR="00DE59EF" w:rsidRDefault="00DE59EF" w:rsidP="00DE59EF">
            <w:r>
              <w:t>State responsibility</w:t>
            </w:r>
          </w:p>
        </w:tc>
        <w:tc>
          <w:tcPr>
            <w:tcW w:w="1476" w:type="dxa"/>
          </w:tcPr>
          <w:p w14:paraId="0D553865" w14:textId="56A309B3" w:rsidR="00DE59EF" w:rsidRDefault="00DE59EF" w:rsidP="00DE59EF">
            <w:r>
              <w:t>Accept in principle</w:t>
            </w:r>
          </w:p>
          <w:p w14:paraId="0A3DED72" w14:textId="4F37BE4B" w:rsidR="00DE59EF" w:rsidRDefault="00DE59EF" w:rsidP="00DE59EF"/>
        </w:tc>
        <w:tc>
          <w:tcPr>
            <w:tcW w:w="1480" w:type="dxa"/>
          </w:tcPr>
          <w:p w14:paraId="0A205E3A" w14:textId="32CD2CB7" w:rsidR="00DE59EF" w:rsidRDefault="00DE59EF" w:rsidP="00DE59EF">
            <w:r>
              <w:t>Subject to further consideration</w:t>
            </w:r>
          </w:p>
        </w:tc>
        <w:tc>
          <w:tcPr>
            <w:tcW w:w="1477" w:type="dxa"/>
          </w:tcPr>
          <w:p w14:paraId="465CE7B2" w14:textId="56A309B3" w:rsidR="00DE59EF" w:rsidRDefault="00DE59EF" w:rsidP="00DE59EF">
            <w:r>
              <w:t>Accept in principle</w:t>
            </w:r>
          </w:p>
          <w:p w14:paraId="34FBA304" w14:textId="1F28FE09" w:rsidR="00DE59EF" w:rsidRDefault="00DE59EF" w:rsidP="00DE59EF"/>
        </w:tc>
        <w:tc>
          <w:tcPr>
            <w:tcW w:w="1470" w:type="dxa"/>
          </w:tcPr>
          <w:p w14:paraId="56558E55" w14:textId="56A309B3" w:rsidR="00DE59EF" w:rsidRDefault="00DE59EF" w:rsidP="00DE59EF">
            <w:r>
              <w:t>Accept in principle</w:t>
            </w:r>
          </w:p>
          <w:p w14:paraId="5FDAB726" w14:textId="0C25B64F" w:rsidR="00DE59EF" w:rsidRDefault="00DE59EF" w:rsidP="00DE59EF"/>
        </w:tc>
        <w:tc>
          <w:tcPr>
            <w:tcW w:w="1474" w:type="dxa"/>
          </w:tcPr>
          <w:p w14:paraId="230D76F7" w14:textId="56A309B3" w:rsidR="00DE59EF" w:rsidRDefault="00DE59EF" w:rsidP="00DE59EF">
            <w:r>
              <w:t>Accept in principle</w:t>
            </w:r>
          </w:p>
          <w:p w14:paraId="2CE5EFE1" w14:textId="74E9DC5E" w:rsidR="00DE59EF" w:rsidRDefault="00DE59EF" w:rsidP="00DE59EF"/>
        </w:tc>
        <w:tc>
          <w:tcPr>
            <w:tcW w:w="1473" w:type="dxa"/>
          </w:tcPr>
          <w:p w14:paraId="791868ED" w14:textId="0533AB34" w:rsidR="00DE59EF" w:rsidRDefault="00DE59EF" w:rsidP="00DE59EF">
            <w:r>
              <w:t>Accept in principle</w:t>
            </w:r>
          </w:p>
        </w:tc>
        <w:tc>
          <w:tcPr>
            <w:tcW w:w="1474" w:type="dxa"/>
          </w:tcPr>
          <w:p w14:paraId="7152F8BF" w14:textId="56A309B3" w:rsidR="00DE59EF" w:rsidRDefault="00DE59EF" w:rsidP="00DE59EF">
            <w:r>
              <w:t>Accept in principle</w:t>
            </w:r>
          </w:p>
          <w:p w14:paraId="3EF4E14A" w14:textId="231A133C" w:rsidR="00DE59EF" w:rsidRDefault="00DE59EF" w:rsidP="00DE59EF"/>
        </w:tc>
      </w:tr>
      <w:tr w:rsidR="00DE59EF" w14:paraId="21BB2F92" w14:textId="77777777" w:rsidTr="00DE59EF">
        <w:trPr>
          <w:trHeight w:val="349"/>
        </w:trPr>
        <w:tc>
          <w:tcPr>
            <w:tcW w:w="2193" w:type="dxa"/>
          </w:tcPr>
          <w:p w14:paraId="03B20EEA" w14:textId="65FDAAEB" w:rsidR="00DE59EF" w:rsidRDefault="00DE59EF" w:rsidP="00DE59EF">
            <w:pPr>
              <w:rPr>
                <w:b/>
                <w:bCs/>
              </w:rPr>
            </w:pPr>
            <w:r w:rsidRPr="00DE59EF">
              <w:rPr>
                <w:b/>
                <w:bCs/>
              </w:rPr>
              <w:t>6.38: Strengthening the evidence base on reducing an</w:t>
            </w:r>
            <w:r w:rsidR="0004695F">
              <w:rPr>
                <w:b/>
                <w:bCs/>
              </w:rPr>
              <w:t>d</w:t>
            </w:r>
            <w:r w:rsidRPr="00DE59EF">
              <w:rPr>
                <w:b/>
                <w:bCs/>
              </w:rPr>
              <w:t xml:space="preserve"> eliminating RP</w:t>
            </w:r>
          </w:p>
        </w:tc>
        <w:tc>
          <w:tcPr>
            <w:tcW w:w="1431" w:type="dxa"/>
          </w:tcPr>
          <w:p w14:paraId="0B7261D9" w14:textId="56A309B3" w:rsidR="00DE59EF" w:rsidRDefault="00DE59EF" w:rsidP="00DE59EF">
            <w:r>
              <w:t>Accept in principle</w:t>
            </w:r>
          </w:p>
          <w:p w14:paraId="424FC100" w14:textId="200726D7" w:rsidR="00DE59EF" w:rsidRDefault="00DE59EF" w:rsidP="00DE59EF"/>
        </w:tc>
        <w:tc>
          <w:tcPr>
            <w:tcW w:w="1476" w:type="dxa"/>
          </w:tcPr>
          <w:p w14:paraId="10E8DFF5" w14:textId="65BE4D04" w:rsidR="00DE59EF" w:rsidRDefault="00DE59EF" w:rsidP="00DE59EF">
            <w:r>
              <w:t>Federal responsibility</w:t>
            </w:r>
          </w:p>
        </w:tc>
        <w:tc>
          <w:tcPr>
            <w:tcW w:w="1480" w:type="dxa"/>
          </w:tcPr>
          <w:p w14:paraId="139B5FC7" w14:textId="437A9354" w:rsidR="00DE59EF" w:rsidRDefault="00DE59EF" w:rsidP="00DE59EF">
            <w:r>
              <w:t>Note</w:t>
            </w:r>
          </w:p>
        </w:tc>
        <w:tc>
          <w:tcPr>
            <w:tcW w:w="1477" w:type="dxa"/>
          </w:tcPr>
          <w:p w14:paraId="76CDFB77" w14:textId="7B4755B6" w:rsidR="00DE59EF" w:rsidRDefault="00DE59EF" w:rsidP="00DE59EF">
            <w:r>
              <w:t>Note</w:t>
            </w:r>
          </w:p>
        </w:tc>
        <w:tc>
          <w:tcPr>
            <w:tcW w:w="1470" w:type="dxa"/>
          </w:tcPr>
          <w:p w14:paraId="5FE1800A" w14:textId="22CDD67B" w:rsidR="00DE59EF" w:rsidRDefault="00DE59EF" w:rsidP="00DE59EF">
            <w:r>
              <w:t>Federal responsibility</w:t>
            </w:r>
          </w:p>
        </w:tc>
        <w:tc>
          <w:tcPr>
            <w:tcW w:w="1474" w:type="dxa"/>
          </w:tcPr>
          <w:p w14:paraId="6355E871" w14:textId="4C0AD060" w:rsidR="00DE59EF" w:rsidRDefault="00DE59EF" w:rsidP="00DE59EF">
            <w:r>
              <w:t>Note</w:t>
            </w:r>
          </w:p>
        </w:tc>
        <w:tc>
          <w:tcPr>
            <w:tcW w:w="1473" w:type="dxa"/>
          </w:tcPr>
          <w:p w14:paraId="0F67B633" w14:textId="625A25DF" w:rsidR="00DE59EF" w:rsidRDefault="00DE59EF" w:rsidP="00DE59EF">
            <w:r>
              <w:t>Note</w:t>
            </w:r>
          </w:p>
        </w:tc>
        <w:tc>
          <w:tcPr>
            <w:tcW w:w="1474" w:type="dxa"/>
          </w:tcPr>
          <w:p w14:paraId="602C54DE" w14:textId="3EE8E14C" w:rsidR="00DE59EF" w:rsidRDefault="00DE59EF" w:rsidP="00DE59EF">
            <w:r>
              <w:t>Noted</w:t>
            </w:r>
          </w:p>
        </w:tc>
      </w:tr>
      <w:tr w:rsidR="00DE59EF" w14:paraId="330F0CDB" w14:textId="77777777" w:rsidTr="00DE59EF">
        <w:trPr>
          <w:trHeight w:val="349"/>
        </w:trPr>
        <w:tc>
          <w:tcPr>
            <w:tcW w:w="2193" w:type="dxa"/>
          </w:tcPr>
          <w:p w14:paraId="0E969C5B" w14:textId="40825323" w:rsidR="00DE59EF" w:rsidRDefault="00DE59EF" w:rsidP="00DE59EF">
            <w:pPr>
              <w:rPr>
                <w:b/>
                <w:bCs/>
              </w:rPr>
            </w:pPr>
            <w:r w:rsidRPr="00DE59EF">
              <w:rPr>
                <w:b/>
                <w:bCs/>
              </w:rPr>
              <w:t>6.40: Targets and performance indicators to drive the reduction and elimination of RP</w:t>
            </w:r>
          </w:p>
        </w:tc>
        <w:tc>
          <w:tcPr>
            <w:tcW w:w="1431" w:type="dxa"/>
          </w:tcPr>
          <w:p w14:paraId="2402F62B" w14:textId="56A309B3" w:rsidR="00DE59EF" w:rsidRDefault="00DE59EF" w:rsidP="00DE59EF">
            <w:r>
              <w:t>Accept in principle</w:t>
            </w:r>
          </w:p>
          <w:p w14:paraId="1EA779C6" w14:textId="629FE97C" w:rsidR="00DE59EF" w:rsidRDefault="00DE59EF" w:rsidP="00DE59EF"/>
        </w:tc>
        <w:tc>
          <w:tcPr>
            <w:tcW w:w="1476" w:type="dxa"/>
          </w:tcPr>
          <w:p w14:paraId="6A870E07" w14:textId="56A309B3" w:rsidR="00DE59EF" w:rsidRDefault="00DE59EF" w:rsidP="00DE59EF">
            <w:r>
              <w:t>Accept in principle</w:t>
            </w:r>
          </w:p>
          <w:p w14:paraId="69C854DE" w14:textId="4A5284E7" w:rsidR="00DE59EF" w:rsidRDefault="00DE59EF" w:rsidP="00DE59EF"/>
        </w:tc>
        <w:tc>
          <w:tcPr>
            <w:tcW w:w="1480" w:type="dxa"/>
          </w:tcPr>
          <w:p w14:paraId="404EDD82" w14:textId="56A309B3" w:rsidR="00DE59EF" w:rsidRDefault="00DE59EF" w:rsidP="00DE59EF">
            <w:r>
              <w:t>Accept in principle</w:t>
            </w:r>
          </w:p>
          <w:p w14:paraId="2331B665" w14:textId="30B6C276" w:rsidR="00DE59EF" w:rsidRDefault="00DE59EF" w:rsidP="00DE59EF"/>
        </w:tc>
        <w:tc>
          <w:tcPr>
            <w:tcW w:w="1477" w:type="dxa"/>
          </w:tcPr>
          <w:p w14:paraId="47A60FB7" w14:textId="56A309B3" w:rsidR="00DE59EF" w:rsidRDefault="00DE59EF" w:rsidP="00DE59EF">
            <w:r>
              <w:t>Accept in principle</w:t>
            </w:r>
          </w:p>
          <w:p w14:paraId="734B29C3" w14:textId="7C65D55A" w:rsidR="00DE59EF" w:rsidRDefault="00DE59EF" w:rsidP="00DE59EF"/>
        </w:tc>
        <w:tc>
          <w:tcPr>
            <w:tcW w:w="1470" w:type="dxa"/>
          </w:tcPr>
          <w:p w14:paraId="13F3BEC0" w14:textId="56A309B3" w:rsidR="00DE59EF" w:rsidRDefault="00DE59EF" w:rsidP="00DE59EF">
            <w:r>
              <w:t>Accept in principle</w:t>
            </w:r>
          </w:p>
          <w:p w14:paraId="184EA13D" w14:textId="6A2FE4B8" w:rsidR="00DE59EF" w:rsidRDefault="00DE59EF" w:rsidP="00DE59EF"/>
        </w:tc>
        <w:tc>
          <w:tcPr>
            <w:tcW w:w="1474" w:type="dxa"/>
          </w:tcPr>
          <w:p w14:paraId="7C87BD39" w14:textId="56A309B3" w:rsidR="00DE59EF" w:rsidRDefault="00DE59EF" w:rsidP="00DE59EF">
            <w:r>
              <w:t>Accept in principle</w:t>
            </w:r>
          </w:p>
          <w:p w14:paraId="1B8AD983" w14:textId="7AF888B5" w:rsidR="00DE59EF" w:rsidRDefault="00DE59EF" w:rsidP="00DE59EF"/>
        </w:tc>
        <w:tc>
          <w:tcPr>
            <w:tcW w:w="1473" w:type="dxa"/>
          </w:tcPr>
          <w:p w14:paraId="5248208A" w14:textId="56A309B3" w:rsidR="00DE59EF" w:rsidRDefault="00DE59EF" w:rsidP="00DE59EF">
            <w:r>
              <w:t>Accept in principle</w:t>
            </w:r>
          </w:p>
        </w:tc>
        <w:tc>
          <w:tcPr>
            <w:tcW w:w="1474" w:type="dxa"/>
          </w:tcPr>
          <w:p w14:paraId="620E61F4" w14:textId="56A309B3" w:rsidR="00DE59EF" w:rsidRDefault="00DE59EF" w:rsidP="00DE59EF">
            <w:r>
              <w:t>Accept in principle</w:t>
            </w:r>
          </w:p>
          <w:p w14:paraId="3E2A32D3" w14:textId="64DA1E95" w:rsidR="00DE59EF" w:rsidRDefault="00DE59EF" w:rsidP="00DE59EF"/>
        </w:tc>
      </w:tr>
    </w:tbl>
    <w:p w14:paraId="413F676A" w14:textId="77777777" w:rsidR="007A5AAF" w:rsidRDefault="007A5AAF"/>
    <w:sectPr w:rsidR="007A5AAF" w:rsidSect="007A5A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AF"/>
    <w:rsid w:val="000028A0"/>
    <w:rsid w:val="00004431"/>
    <w:rsid w:val="0000678E"/>
    <w:rsid w:val="00011127"/>
    <w:rsid w:val="000214D3"/>
    <w:rsid w:val="00024F60"/>
    <w:rsid w:val="00035578"/>
    <w:rsid w:val="0004695F"/>
    <w:rsid w:val="0005295F"/>
    <w:rsid w:val="000673E8"/>
    <w:rsid w:val="000773A7"/>
    <w:rsid w:val="000876F6"/>
    <w:rsid w:val="00090F2F"/>
    <w:rsid w:val="000B5974"/>
    <w:rsid w:val="000C281B"/>
    <w:rsid w:val="000E6C9D"/>
    <w:rsid w:val="000F4664"/>
    <w:rsid w:val="00102E3D"/>
    <w:rsid w:val="00103192"/>
    <w:rsid w:val="001356E9"/>
    <w:rsid w:val="0014022F"/>
    <w:rsid w:val="00145BA1"/>
    <w:rsid w:val="00194D76"/>
    <w:rsid w:val="00197A2B"/>
    <w:rsid w:val="001D70F5"/>
    <w:rsid w:val="001E3613"/>
    <w:rsid w:val="001E6702"/>
    <w:rsid w:val="001F1A32"/>
    <w:rsid w:val="0021319D"/>
    <w:rsid w:val="002172E4"/>
    <w:rsid w:val="00217A9B"/>
    <w:rsid w:val="00230931"/>
    <w:rsid w:val="00234833"/>
    <w:rsid w:val="002444A8"/>
    <w:rsid w:val="0026092E"/>
    <w:rsid w:val="00262DAA"/>
    <w:rsid w:val="002742C1"/>
    <w:rsid w:val="0027547A"/>
    <w:rsid w:val="002802F9"/>
    <w:rsid w:val="002822EB"/>
    <w:rsid w:val="00285937"/>
    <w:rsid w:val="002F79B2"/>
    <w:rsid w:val="00322FE7"/>
    <w:rsid w:val="00326193"/>
    <w:rsid w:val="003337C3"/>
    <w:rsid w:val="00350BCF"/>
    <w:rsid w:val="00357A27"/>
    <w:rsid w:val="00361DBD"/>
    <w:rsid w:val="00362B5F"/>
    <w:rsid w:val="00363CA4"/>
    <w:rsid w:val="003677D2"/>
    <w:rsid w:val="003A5B32"/>
    <w:rsid w:val="003B66E1"/>
    <w:rsid w:val="003D29AF"/>
    <w:rsid w:val="003D42F0"/>
    <w:rsid w:val="003E7109"/>
    <w:rsid w:val="003F4EEA"/>
    <w:rsid w:val="00442E65"/>
    <w:rsid w:val="004479DF"/>
    <w:rsid w:val="004648E0"/>
    <w:rsid w:val="00497020"/>
    <w:rsid w:val="004D0ADC"/>
    <w:rsid w:val="004D0CD8"/>
    <w:rsid w:val="004D216C"/>
    <w:rsid w:val="004F43A6"/>
    <w:rsid w:val="004F6417"/>
    <w:rsid w:val="004F693F"/>
    <w:rsid w:val="005010C8"/>
    <w:rsid w:val="005022C4"/>
    <w:rsid w:val="005575DA"/>
    <w:rsid w:val="00560648"/>
    <w:rsid w:val="00582D87"/>
    <w:rsid w:val="005A3860"/>
    <w:rsid w:val="005C40A3"/>
    <w:rsid w:val="005F27EA"/>
    <w:rsid w:val="005F5DAA"/>
    <w:rsid w:val="00605B9C"/>
    <w:rsid w:val="00610097"/>
    <w:rsid w:val="00615E41"/>
    <w:rsid w:val="00627BBA"/>
    <w:rsid w:val="006358F1"/>
    <w:rsid w:val="006507BD"/>
    <w:rsid w:val="00660964"/>
    <w:rsid w:val="00675F50"/>
    <w:rsid w:val="006906F6"/>
    <w:rsid w:val="00690BF7"/>
    <w:rsid w:val="00692712"/>
    <w:rsid w:val="006A7AA0"/>
    <w:rsid w:val="006B4096"/>
    <w:rsid w:val="006DF2CE"/>
    <w:rsid w:val="006E0EF7"/>
    <w:rsid w:val="006E5DE3"/>
    <w:rsid w:val="006F0181"/>
    <w:rsid w:val="007114DF"/>
    <w:rsid w:val="00713142"/>
    <w:rsid w:val="007233B4"/>
    <w:rsid w:val="007234EA"/>
    <w:rsid w:val="0073176C"/>
    <w:rsid w:val="00751BBB"/>
    <w:rsid w:val="00755AE5"/>
    <w:rsid w:val="007656A7"/>
    <w:rsid w:val="00775DF6"/>
    <w:rsid w:val="007761FC"/>
    <w:rsid w:val="0079659D"/>
    <w:rsid w:val="00796A1A"/>
    <w:rsid w:val="007A5AAF"/>
    <w:rsid w:val="007B026A"/>
    <w:rsid w:val="007B5714"/>
    <w:rsid w:val="007B7473"/>
    <w:rsid w:val="007D038C"/>
    <w:rsid w:val="007D2A27"/>
    <w:rsid w:val="007D4AB2"/>
    <w:rsid w:val="007E17A6"/>
    <w:rsid w:val="007E4FF5"/>
    <w:rsid w:val="007F3811"/>
    <w:rsid w:val="00806B32"/>
    <w:rsid w:val="00827410"/>
    <w:rsid w:val="00835794"/>
    <w:rsid w:val="00861554"/>
    <w:rsid w:val="00873028"/>
    <w:rsid w:val="008807EE"/>
    <w:rsid w:val="008A2CF3"/>
    <w:rsid w:val="008B5B02"/>
    <w:rsid w:val="008C1AC3"/>
    <w:rsid w:val="008D6865"/>
    <w:rsid w:val="008E6EE7"/>
    <w:rsid w:val="0091072C"/>
    <w:rsid w:val="00910AA0"/>
    <w:rsid w:val="00915C58"/>
    <w:rsid w:val="0091686E"/>
    <w:rsid w:val="00936DDF"/>
    <w:rsid w:val="009462EC"/>
    <w:rsid w:val="00951202"/>
    <w:rsid w:val="00952AA3"/>
    <w:rsid w:val="0095321B"/>
    <w:rsid w:val="0096597C"/>
    <w:rsid w:val="009662FE"/>
    <w:rsid w:val="00970A01"/>
    <w:rsid w:val="00974E4D"/>
    <w:rsid w:val="00993029"/>
    <w:rsid w:val="00994BE2"/>
    <w:rsid w:val="009A1215"/>
    <w:rsid w:val="009B48B0"/>
    <w:rsid w:val="009C0080"/>
    <w:rsid w:val="009C28AC"/>
    <w:rsid w:val="009C2A66"/>
    <w:rsid w:val="009D1C59"/>
    <w:rsid w:val="009E2213"/>
    <w:rsid w:val="009E584A"/>
    <w:rsid w:val="009F4CD1"/>
    <w:rsid w:val="009F6943"/>
    <w:rsid w:val="00A03F3E"/>
    <w:rsid w:val="00A041CF"/>
    <w:rsid w:val="00A4122A"/>
    <w:rsid w:val="00A428C3"/>
    <w:rsid w:val="00A75A46"/>
    <w:rsid w:val="00A9395C"/>
    <w:rsid w:val="00AA3A0E"/>
    <w:rsid w:val="00AB2D43"/>
    <w:rsid w:val="00AC62EF"/>
    <w:rsid w:val="00AD0BE6"/>
    <w:rsid w:val="00AD2E81"/>
    <w:rsid w:val="00B3067B"/>
    <w:rsid w:val="00B3255F"/>
    <w:rsid w:val="00B33386"/>
    <w:rsid w:val="00B51A03"/>
    <w:rsid w:val="00B831F7"/>
    <w:rsid w:val="00B973B6"/>
    <w:rsid w:val="00B97891"/>
    <w:rsid w:val="00BB393B"/>
    <w:rsid w:val="00BB67BD"/>
    <w:rsid w:val="00BE05D5"/>
    <w:rsid w:val="00BF199E"/>
    <w:rsid w:val="00C16192"/>
    <w:rsid w:val="00C254FD"/>
    <w:rsid w:val="00C26BA4"/>
    <w:rsid w:val="00C30CD9"/>
    <w:rsid w:val="00C41C1A"/>
    <w:rsid w:val="00C51117"/>
    <w:rsid w:val="00C53BE4"/>
    <w:rsid w:val="00C53E6C"/>
    <w:rsid w:val="00C5447B"/>
    <w:rsid w:val="00C602F0"/>
    <w:rsid w:val="00C809CB"/>
    <w:rsid w:val="00CA76C0"/>
    <w:rsid w:val="00CD7F90"/>
    <w:rsid w:val="00CE0450"/>
    <w:rsid w:val="00CE5C67"/>
    <w:rsid w:val="00CF4DA6"/>
    <w:rsid w:val="00D049AA"/>
    <w:rsid w:val="00D0760E"/>
    <w:rsid w:val="00D24671"/>
    <w:rsid w:val="00D2494A"/>
    <w:rsid w:val="00D34EBB"/>
    <w:rsid w:val="00D42F2B"/>
    <w:rsid w:val="00D5794A"/>
    <w:rsid w:val="00D903EB"/>
    <w:rsid w:val="00D9050C"/>
    <w:rsid w:val="00D9754D"/>
    <w:rsid w:val="00D9793F"/>
    <w:rsid w:val="00D97F6D"/>
    <w:rsid w:val="00DA6937"/>
    <w:rsid w:val="00DD7546"/>
    <w:rsid w:val="00DE4E42"/>
    <w:rsid w:val="00DE59EF"/>
    <w:rsid w:val="00DE7349"/>
    <w:rsid w:val="00DF4518"/>
    <w:rsid w:val="00E57C3B"/>
    <w:rsid w:val="00E62A52"/>
    <w:rsid w:val="00E674ED"/>
    <w:rsid w:val="00E75FB1"/>
    <w:rsid w:val="00E92456"/>
    <w:rsid w:val="00EA0CBC"/>
    <w:rsid w:val="00EA120C"/>
    <w:rsid w:val="00EA391B"/>
    <w:rsid w:val="00EA4F0A"/>
    <w:rsid w:val="00EA7C38"/>
    <w:rsid w:val="00EB05FC"/>
    <w:rsid w:val="00EB4B38"/>
    <w:rsid w:val="00EC6A50"/>
    <w:rsid w:val="00ED0EC4"/>
    <w:rsid w:val="00F05508"/>
    <w:rsid w:val="00F06BEF"/>
    <w:rsid w:val="00F24C9A"/>
    <w:rsid w:val="00F370AC"/>
    <w:rsid w:val="00F371F9"/>
    <w:rsid w:val="00F41080"/>
    <w:rsid w:val="00F43138"/>
    <w:rsid w:val="00F56C7C"/>
    <w:rsid w:val="00F6319B"/>
    <w:rsid w:val="00F835A2"/>
    <w:rsid w:val="00FA2480"/>
    <w:rsid w:val="00FA6A5C"/>
    <w:rsid w:val="00FC1899"/>
    <w:rsid w:val="00FD743C"/>
    <w:rsid w:val="04F64066"/>
    <w:rsid w:val="04F7868A"/>
    <w:rsid w:val="050A77C2"/>
    <w:rsid w:val="07C198D6"/>
    <w:rsid w:val="0A5C6312"/>
    <w:rsid w:val="0A9E1B02"/>
    <w:rsid w:val="0CAB2802"/>
    <w:rsid w:val="0E3CC804"/>
    <w:rsid w:val="10542184"/>
    <w:rsid w:val="10A18AB2"/>
    <w:rsid w:val="13B67BD0"/>
    <w:rsid w:val="17B8BBD0"/>
    <w:rsid w:val="1AE03F78"/>
    <w:rsid w:val="1CDF9490"/>
    <w:rsid w:val="1DBAD545"/>
    <w:rsid w:val="1ED41892"/>
    <w:rsid w:val="1F5072B7"/>
    <w:rsid w:val="20229D5E"/>
    <w:rsid w:val="2161C3EF"/>
    <w:rsid w:val="233884FB"/>
    <w:rsid w:val="25BA1930"/>
    <w:rsid w:val="28528BA3"/>
    <w:rsid w:val="28E4B756"/>
    <w:rsid w:val="29060867"/>
    <w:rsid w:val="29E42B05"/>
    <w:rsid w:val="2ADD1008"/>
    <w:rsid w:val="2B837B01"/>
    <w:rsid w:val="2BA4705B"/>
    <w:rsid w:val="2C2CA2A5"/>
    <w:rsid w:val="2FC2638E"/>
    <w:rsid w:val="314EBA5F"/>
    <w:rsid w:val="329946DE"/>
    <w:rsid w:val="3525C606"/>
    <w:rsid w:val="36F1B18C"/>
    <w:rsid w:val="398979E6"/>
    <w:rsid w:val="3B943023"/>
    <w:rsid w:val="3C2E6F76"/>
    <w:rsid w:val="3EA91938"/>
    <w:rsid w:val="3F77045A"/>
    <w:rsid w:val="3FAF888F"/>
    <w:rsid w:val="408CD6BD"/>
    <w:rsid w:val="48096132"/>
    <w:rsid w:val="48811621"/>
    <w:rsid w:val="48942DE6"/>
    <w:rsid w:val="489B2077"/>
    <w:rsid w:val="4A4B911E"/>
    <w:rsid w:val="507EF1D9"/>
    <w:rsid w:val="508C75F1"/>
    <w:rsid w:val="50E97DEF"/>
    <w:rsid w:val="53A209B5"/>
    <w:rsid w:val="54BE7761"/>
    <w:rsid w:val="55BD9331"/>
    <w:rsid w:val="567719ED"/>
    <w:rsid w:val="57DEED87"/>
    <w:rsid w:val="583B8D46"/>
    <w:rsid w:val="599408C4"/>
    <w:rsid w:val="5A28671F"/>
    <w:rsid w:val="5CA050A7"/>
    <w:rsid w:val="5E1A1BF1"/>
    <w:rsid w:val="5E35F78E"/>
    <w:rsid w:val="5E969018"/>
    <w:rsid w:val="5ECF58A9"/>
    <w:rsid w:val="61DA41C4"/>
    <w:rsid w:val="66AEB6FC"/>
    <w:rsid w:val="67681CBF"/>
    <w:rsid w:val="68CBAD51"/>
    <w:rsid w:val="693CFDBE"/>
    <w:rsid w:val="69A34862"/>
    <w:rsid w:val="6C1112F0"/>
    <w:rsid w:val="6C1AAEE3"/>
    <w:rsid w:val="6C8E57B1"/>
    <w:rsid w:val="6E9759BE"/>
    <w:rsid w:val="6EBD8D1D"/>
    <w:rsid w:val="6FE3D50E"/>
    <w:rsid w:val="7079DD57"/>
    <w:rsid w:val="70C9F0CF"/>
    <w:rsid w:val="7292EC22"/>
    <w:rsid w:val="72CF6728"/>
    <w:rsid w:val="76798E3E"/>
    <w:rsid w:val="7A137FA2"/>
    <w:rsid w:val="7B774026"/>
    <w:rsid w:val="7F8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B0A2"/>
  <w15:chartTrackingRefBased/>
  <w15:docId w15:val="{3C8A84DD-6052-4BB1-AF91-F52C26B8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A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A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A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A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A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A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A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A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A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Kakoschke-Moore</dc:creator>
  <cp:keywords/>
  <dc:description/>
  <cp:lastModifiedBy>David Kavanagh</cp:lastModifiedBy>
  <cp:revision>3</cp:revision>
  <dcterms:created xsi:type="dcterms:W3CDTF">2024-08-07T07:24:00Z</dcterms:created>
  <dcterms:modified xsi:type="dcterms:W3CDTF">2024-08-07T07:47:00Z</dcterms:modified>
</cp:coreProperties>
</file>