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3323C691" w:rsidR="00472C55" w:rsidRPr="009B22F4" w:rsidRDefault="00A20261">
      <w:pPr>
        <w:sectPr w:rsidR="00472C55" w:rsidRPr="009B22F4" w:rsidSect="00AB7511">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9B22F4">
        <w:rPr>
          <w:noProof/>
        </w:rPr>
        <mc:AlternateContent>
          <mc:Choice Requires="wps">
            <w:drawing>
              <wp:anchor distT="0" distB="0" distL="114300" distR="114300" simplePos="0" relativeHeight="251658244" behindDoc="0" locked="0" layoutInCell="1" allowOverlap="1" wp14:anchorId="09E1478F" wp14:editId="6FA1E532">
                <wp:simplePos x="0" y="0"/>
                <wp:positionH relativeFrom="column">
                  <wp:posOffset>-390939</wp:posOffset>
                </wp:positionH>
                <wp:positionV relativeFrom="paragraph">
                  <wp:posOffset>3525078</wp:posOffset>
                </wp:positionV>
                <wp:extent cx="4181061" cy="2385392"/>
                <wp:effectExtent l="0" t="0" r="0" b="0"/>
                <wp:wrapNone/>
                <wp:docPr id="18958268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061" cy="2385392"/>
                        </a:xfrm>
                        <a:prstGeom prst="rect">
                          <a:avLst/>
                        </a:prstGeom>
                        <a:noFill/>
                        <a:ln w="6350">
                          <a:noFill/>
                        </a:ln>
                      </wps:spPr>
                      <wps:txbx>
                        <w:txbxContent>
                          <w:p w14:paraId="3A63EA3B" w14:textId="5182E41B" w:rsidR="00CE1A4F" w:rsidRDefault="00CE1A4F" w:rsidP="00CE1A4F">
                            <w:pPr>
                              <w:pStyle w:val="CYDASubheading"/>
                              <w:rPr>
                                <w:i/>
                                <w:iCs/>
                                <w:color w:val="3D444F"/>
                                <w:sz w:val="36"/>
                                <w:szCs w:val="36"/>
                              </w:rPr>
                            </w:pPr>
                            <w:r w:rsidRPr="00A20261">
                              <w:rPr>
                                <w:i/>
                                <w:iCs/>
                                <w:color w:val="3D444F"/>
                                <w:sz w:val="36"/>
                                <w:szCs w:val="36"/>
                              </w:rPr>
                              <w:t>“</w:t>
                            </w:r>
                            <w:r w:rsidR="00386A7E" w:rsidRPr="00A20261">
                              <w:rPr>
                                <w:i/>
                                <w:iCs/>
                                <w:color w:val="3D444F"/>
                                <w:sz w:val="36"/>
                                <w:szCs w:val="36"/>
                              </w:rPr>
                              <w:t xml:space="preserve">Ensure there are mechanisms to hold tertiary institutions and educators to account when not meeting the rights of students with disability </w:t>
                            </w:r>
                            <w:r w:rsidR="009A1653" w:rsidRPr="00A20261">
                              <w:rPr>
                                <w:i/>
                                <w:iCs/>
                                <w:color w:val="3D444F"/>
                                <w:sz w:val="36"/>
                                <w:szCs w:val="36"/>
                              </w:rPr>
                              <w:t>…</w:t>
                            </w:r>
                            <w:r w:rsidRPr="00A20261">
                              <w:rPr>
                                <w:i/>
                                <w:iCs/>
                                <w:color w:val="3D444F"/>
                                <w:sz w:val="36"/>
                                <w:szCs w:val="36"/>
                              </w:rPr>
                              <w:t>”</w:t>
                            </w:r>
                          </w:p>
                          <w:p w14:paraId="6B9D297A" w14:textId="77777777" w:rsidR="002B5FFF" w:rsidRPr="00A20261" w:rsidRDefault="002B5FFF" w:rsidP="00CE1A4F">
                            <w:pPr>
                              <w:pStyle w:val="CYDASubheading"/>
                              <w:rPr>
                                <w:i/>
                                <w:iCs/>
                                <w:color w:val="3D444F"/>
                                <w:sz w:val="36"/>
                                <w:szCs w:val="36"/>
                              </w:rPr>
                            </w:pPr>
                          </w:p>
                          <w:p w14:paraId="383EC017" w14:textId="7686972E" w:rsidR="00386A7E" w:rsidRPr="00420B77" w:rsidRDefault="00DD1F5D" w:rsidP="00420B77">
                            <w:pPr>
                              <w:pStyle w:val="CYDASubheading"/>
                              <w:rPr>
                                <w:i/>
                                <w:iCs/>
                                <w:color w:val="3D444F"/>
                                <w:sz w:val="24"/>
                              </w:rPr>
                            </w:pPr>
                            <w:r w:rsidRPr="00420B77">
                              <w:rPr>
                                <w:i/>
                                <w:iCs/>
                                <w:color w:val="3D444F"/>
                                <w:sz w:val="24"/>
                              </w:rPr>
                              <w:t>(</w:t>
                            </w:r>
                            <w:r w:rsidR="00386A7E" w:rsidRPr="00420B77">
                              <w:rPr>
                                <w:i/>
                                <w:iCs/>
                                <w:color w:val="3D444F"/>
                                <w:sz w:val="24"/>
                              </w:rPr>
                              <w:t>What Young People Said</w:t>
                            </w:r>
                            <w:r w:rsidR="00234D9B">
                              <w:rPr>
                                <w:i/>
                                <w:iCs/>
                                <w:color w:val="3D444F"/>
                                <w:sz w:val="24"/>
                              </w:rPr>
                              <w:t xml:space="preserve">, </w:t>
                            </w:r>
                            <w:proofErr w:type="spellStart"/>
                            <w:r w:rsidR="00386A7E" w:rsidRPr="00420B77">
                              <w:rPr>
                                <w:i/>
                                <w:iCs/>
                                <w:color w:val="3D444F"/>
                                <w:sz w:val="24"/>
                              </w:rPr>
                              <w:t>LivedX</w:t>
                            </w:r>
                            <w:proofErr w:type="spellEnd"/>
                            <w:r w:rsidR="00386A7E" w:rsidRPr="00420B77">
                              <w:rPr>
                                <w:i/>
                                <w:iCs/>
                                <w:color w:val="3D444F"/>
                                <w:sz w:val="24"/>
                              </w:rPr>
                              <w:t xml:space="preserve"> Series</w:t>
                            </w:r>
                            <w:r w:rsidR="00234D9B">
                              <w:rPr>
                                <w:i/>
                                <w:iCs/>
                                <w:color w:val="3D444F"/>
                                <w:sz w:val="24"/>
                              </w:rPr>
                              <w:t xml:space="preserve">: </w:t>
                            </w:r>
                            <w:r w:rsidR="00386A7E" w:rsidRPr="00420B77">
                              <w:rPr>
                                <w:i/>
                                <w:iCs/>
                                <w:color w:val="3D444F"/>
                                <w:sz w:val="24"/>
                              </w:rPr>
                              <w:t>Tertiary Education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1478F" id="_x0000_t202" coordsize="21600,21600" o:spt="202" path="m,l,21600r21600,l21600,xe">
                <v:stroke joinstyle="miter"/>
                <v:path gradientshapeok="t" o:connecttype="rect"/>
              </v:shapetype>
              <v:shape id="Text Box 22" o:spid="_x0000_s1026" type="#_x0000_t202" style="position:absolute;margin-left:-30.8pt;margin-top:277.55pt;width:329.2pt;height:187.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" filled="f" stroked="f" strokeweight=".5pt">
                <v:textbox>
                  <w:txbxContent>
                    <w:p w14:paraId="3A63EA3B" w14:textId="5182E41B" w:rsidR="00CE1A4F" w:rsidRDefault="00CE1A4F" w:rsidP="00CE1A4F">
                      <w:pPr>
                        <w:pStyle w:val="CYDASubheading"/>
                        <w:rPr>
                          <w:i/>
                          <w:iCs/>
                          <w:color w:val="3D444F"/>
                          <w:sz w:val="36"/>
                          <w:szCs w:val="36"/>
                        </w:rPr>
                      </w:pPr>
                      <w:r w:rsidRPr="00A20261">
                        <w:rPr>
                          <w:i/>
                          <w:iCs/>
                          <w:color w:val="3D444F"/>
                          <w:sz w:val="36"/>
                          <w:szCs w:val="36"/>
                        </w:rPr>
                        <w:t>“</w:t>
                      </w:r>
                      <w:r w:rsidR="00386A7E" w:rsidRPr="00A20261">
                        <w:rPr>
                          <w:i/>
                          <w:iCs/>
                          <w:color w:val="3D444F"/>
                          <w:sz w:val="36"/>
                          <w:szCs w:val="36"/>
                        </w:rPr>
                        <w:t xml:space="preserve">Ensure there are mechanisms to hold tertiary institutions and educators to account when not meeting the rights of students with disability </w:t>
                      </w:r>
                      <w:r w:rsidR="009A1653" w:rsidRPr="00A20261">
                        <w:rPr>
                          <w:i/>
                          <w:iCs/>
                          <w:color w:val="3D444F"/>
                          <w:sz w:val="36"/>
                          <w:szCs w:val="36"/>
                        </w:rPr>
                        <w:t>…</w:t>
                      </w:r>
                      <w:r w:rsidRPr="00A20261">
                        <w:rPr>
                          <w:i/>
                          <w:iCs/>
                          <w:color w:val="3D444F"/>
                          <w:sz w:val="36"/>
                          <w:szCs w:val="36"/>
                        </w:rPr>
                        <w:t>”</w:t>
                      </w:r>
                    </w:p>
                    <w:p w14:paraId="6B9D297A" w14:textId="77777777" w:rsidR="002B5FFF" w:rsidRPr="00A20261" w:rsidRDefault="002B5FFF" w:rsidP="00CE1A4F">
                      <w:pPr>
                        <w:pStyle w:val="CYDASubheading"/>
                        <w:rPr>
                          <w:i/>
                          <w:iCs/>
                          <w:color w:val="3D444F"/>
                          <w:sz w:val="36"/>
                          <w:szCs w:val="36"/>
                        </w:rPr>
                      </w:pPr>
                    </w:p>
                    <w:p w14:paraId="383EC017" w14:textId="7686972E" w:rsidR="00386A7E" w:rsidRPr="00420B77" w:rsidRDefault="00DD1F5D" w:rsidP="00420B77">
                      <w:pPr>
                        <w:pStyle w:val="CYDASubheading"/>
                        <w:rPr>
                          <w:i/>
                          <w:iCs/>
                          <w:color w:val="3D444F"/>
                          <w:sz w:val="24"/>
                        </w:rPr>
                      </w:pPr>
                      <w:r w:rsidRPr="00420B77">
                        <w:rPr>
                          <w:i/>
                          <w:iCs/>
                          <w:color w:val="3D444F"/>
                          <w:sz w:val="24"/>
                        </w:rPr>
                        <w:t>(</w:t>
                      </w:r>
                      <w:r w:rsidR="00386A7E" w:rsidRPr="00420B77">
                        <w:rPr>
                          <w:i/>
                          <w:iCs/>
                          <w:color w:val="3D444F"/>
                          <w:sz w:val="24"/>
                        </w:rPr>
                        <w:t>What Young People Said</w:t>
                      </w:r>
                      <w:r w:rsidR="00234D9B">
                        <w:rPr>
                          <w:i/>
                          <w:iCs/>
                          <w:color w:val="3D444F"/>
                          <w:sz w:val="24"/>
                        </w:rPr>
                        <w:t xml:space="preserve">, </w:t>
                      </w:r>
                      <w:proofErr w:type="spellStart"/>
                      <w:r w:rsidR="00386A7E" w:rsidRPr="00420B77">
                        <w:rPr>
                          <w:i/>
                          <w:iCs/>
                          <w:color w:val="3D444F"/>
                          <w:sz w:val="24"/>
                        </w:rPr>
                        <w:t>LivedX</w:t>
                      </w:r>
                      <w:proofErr w:type="spellEnd"/>
                      <w:r w:rsidR="00386A7E" w:rsidRPr="00420B77">
                        <w:rPr>
                          <w:i/>
                          <w:iCs/>
                          <w:color w:val="3D444F"/>
                          <w:sz w:val="24"/>
                        </w:rPr>
                        <w:t xml:space="preserve"> Series</w:t>
                      </w:r>
                      <w:r w:rsidR="00234D9B">
                        <w:rPr>
                          <w:i/>
                          <w:iCs/>
                          <w:color w:val="3D444F"/>
                          <w:sz w:val="24"/>
                        </w:rPr>
                        <w:t xml:space="preserve">: </w:t>
                      </w:r>
                      <w:r w:rsidR="00386A7E" w:rsidRPr="00420B77">
                        <w:rPr>
                          <w:i/>
                          <w:iCs/>
                          <w:color w:val="3D444F"/>
                          <w:sz w:val="24"/>
                        </w:rPr>
                        <w:t>Tertiary Education and Learning)</w:t>
                      </w:r>
                    </w:p>
                  </w:txbxContent>
                </v:textbox>
              </v:shape>
            </w:pict>
          </mc:Fallback>
        </mc:AlternateContent>
      </w:r>
      <w:r w:rsidR="00391A01" w:rsidRPr="009B22F4">
        <w:rPr>
          <w:noProof/>
        </w:rPr>
        <mc:AlternateContent>
          <mc:Choice Requires="wps">
            <w:drawing>
              <wp:anchor distT="0" distB="0" distL="114300" distR="114300" simplePos="0" relativeHeight="251658241" behindDoc="0" locked="0" layoutInCell="1" allowOverlap="1" wp14:anchorId="27F6A343" wp14:editId="5A744789">
                <wp:simplePos x="0" y="0"/>
                <wp:positionH relativeFrom="column">
                  <wp:posOffset>-112542</wp:posOffset>
                </wp:positionH>
                <wp:positionV relativeFrom="paragraph">
                  <wp:posOffset>597877</wp:posOffset>
                </wp:positionV>
                <wp:extent cx="4890135" cy="2546252"/>
                <wp:effectExtent l="0" t="0" r="0" b="6985"/>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546252"/>
                        </a:xfrm>
                        <a:prstGeom prst="rect">
                          <a:avLst/>
                        </a:prstGeom>
                        <a:noFill/>
                        <a:ln w="6350">
                          <a:noFill/>
                        </a:ln>
                      </wps:spPr>
                      <wps:txbx>
                        <w:txbxContent>
                          <w:p w14:paraId="37C954BD" w14:textId="2462C349" w:rsidR="0074674A" w:rsidRPr="00420B77" w:rsidRDefault="00C279FE" w:rsidP="00C421C2">
                            <w:pPr>
                              <w:pStyle w:val="CYDATitle"/>
                              <w:rPr>
                                <w:sz w:val="56"/>
                                <w:szCs w:val="56"/>
                              </w:rPr>
                            </w:pPr>
                            <w:r w:rsidRPr="00420B77">
                              <w:rPr>
                                <w:sz w:val="56"/>
                                <w:szCs w:val="56"/>
                              </w:rPr>
                              <w:t>Children and Young People with Disability Australia (CYDA)’s submission to the M</w:t>
                            </w:r>
                            <w:r w:rsidR="00354276" w:rsidRPr="00420B77">
                              <w:rPr>
                                <w:sz w:val="56"/>
                                <w:szCs w:val="56"/>
                              </w:rPr>
                              <w:t>odernising</w:t>
                            </w:r>
                            <w:r w:rsidR="0033638D" w:rsidRPr="00420B77">
                              <w:rPr>
                                <w:sz w:val="56"/>
                                <w:szCs w:val="56"/>
                              </w:rPr>
                              <w:t xml:space="preserve"> and Strengthening TEQSA’s Powers</w:t>
                            </w:r>
                            <w:r w:rsidR="00354276" w:rsidRPr="00420B77">
                              <w:rPr>
                                <w:sz w:val="56"/>
                                <w:szCs w:val="56"/>
                              </w:rPr>
                              <w:t xml:space="preserve"> 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7" type="#_x0000_t202" style="position:absolute;margin-left:-8.85pt;margin-top:47.1pt;width:385.05pt;height:2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" filled="f" stroked="f" strokeweight=".5pt">
                <v:textbox>
                  <w:txbxContent>
                    <w:p w14:paraId="37C954BD" w14:textId="2462C349" w:rsidR="0074674A" w:rsidRPr="00420B77" w:rsidRDefault="00C279FE" w:rsidP="00C421C2">
                      <w:pPr>
                        <w:pStyle w:val="CYDATitle"/>
                        <w:rPr>
                          <w:sz w:val="56"/>
                          <w:szCs w:val="56"/>
                        </w:rPr>
                      </w:pPr>
                      <w:r w:rsidRPr="00420B77">
                        <w:rPr>
                          <w:sz w:val="56"/>
                          <w:szCs w:val="56"/>
                        </w:rPr>
                        <w:t>Children and Young People with Disability Australia (CYDA)’s submission to the M</w:t>
                      </w:r>
                      <w:r w:rsidR="00354276" w:rsidRPr="00420B77">
                        <w:rPr>
                          <w:sz w:val="56"/>
                          <w:szCs w:val="56"/>
                        </w:rPr>
                        <w:t>odernising</w:t>
                      </w:r>
                      <w:r w:rsidR="0033638D" w:rsidRPr="00420B77">
                        <w:rPr>
                          <w:sz w:val="56"/>
                          <w:szCs w:val="56"/>
                        </w:rPr>
                        <w:t xml:space="preserve"> and Strengthening TEQSA’s Powers</w:t>
                      </w:r>
                      <w:r w:rsidR="00354276" w:rsidRPr="00420B77">
                        <w:rPr>
                          <w:sz w:val="56"/>
                          <w:szCs w:val="56"/>
                        </w:rPr>
                        <w:t xml:space="preserve"> Consultation</w:t>
                      </w:r>
                    </w:p>
                  </w:txbxContent>
                </v:textbox>
              </v:shape>
            </w:pict>
          </mc:Fallback>
        </mc:AlternateContent>
      </w:r>
      <w:r w:rsidR="00916477" w:rsidRPr="009B22F4">
        <w:rPr>
          <w:noProof/>
        </w:rPr>
        <mc:AlternateContent>
          <mc:Choice Requires="wps">
            <w:drawing>
              <wp:anchor distT="0" distB="0" distL="114300" distR="114300" simplePos="0" relativeHeight="251658243" behindDoc="0" locked="0" layoutInCell="1" allowOverlap="1" wp14:anchorId="436E49C3" wp14:editId="3E4573FF">
                <wp:simplePos x="0" y="0"/>
                <wp:positionH relativeFrom="column">
                  <wp:posOffset>-116205</wp:posOffset>
                </wp:positionH>
                <wp:positionV relativeFrom="paragraph">
                  <wp:posOffset>6258087</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36848E72" w:rsidR="00893C6A" w:rsidRPr="00E26968" w:rsidRDefault="0033638D" w:rsidP="00C421C2">
                            <w:pPr>
                              <w:pStyle w:val="CYDADate"/>
                              <w:rPr>
                                <w:color w:val="00663D" w:themeColor="accent6"/>
                                <w:sz w:val="32"/>
                              </w:rPr>
                            </w:pPr>
                            <w:r>
                              <w:rPr>
                                <w:color w:val="00663D" w:themeColor="accent6"/>
                                <w:sz w:val="32"/>
                              </w:rPr>
                              <w:t>October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8" type="#_x0000_t202" style="position:absolute;margin-left:-9.15pt;margin-top:492.75pt;width:357.5pt;height:3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" filled="f" stroked="f" strokeweight=".5pt">
                <v:textbox>
                  <w:txbxContent>
                    <w:p w14:paraId="1EEAF82F" w14:textId="36848E72" w:rsidR="00893C6A" w:rsidRPr="00E26968" w:rsidRDefault="0033638D" w:rsidP="00C421C2">
                      <w:pPr>
                        <w:pStyle w:val="CYDADate"/>
                        <w:rPr>
                          <w:color w:val="00663D" w:themeColor="accent6"/>
                          <w:sz w:val="32"/>
                        </w:rPr>
                      </w:pPr>
                      <w:r>
                        <w:rPr>
                          <w:color w:val="00663D" w:themeColor="accent6"/>
                          <w:sz w:val="32"/>
                        </w:rPr>
                        <w:t>October 2025</w:t>
                      </w:r>
                    </w:p>
                  </w:txbxContent>
                </v:textbox>
              </v:shape>
            </w:pict>
          </mc:Fallback>
        </mc:AlternateContent>
      </w:r>
    </w:p>
    <w:p w14:paraId="232D46A3" w14:textId="065E0681" w:rsidR="00A44388" w:rsidRPr="009B22F4" w:rsidRDefault="008507B8" w:rsidP="00420B77">
      <w:pPr>
        <w:pStyle w:val="CYDABodycopybold"/>
        <w:spacing w:line="276" w:lineRule="auto"/>
        <w:rPr>
          <w:noProof w:val="0"/>
        </w:rPr>
      </w:pPr>
      <w:r w:rsidRPr="009B22F4">
        <w:lastRenderedPageBreak/>
        <w:drawing>
          <wp:anchor distT="0" distB="0" distL="114300" distR="114300" simplePos="0" relativeHeight="251658247"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9B22F4">
        <w:rPr>
          <w:noProof w:val="0"/>
        </w:rPr>
        <w:t>Authorised by:</w:t>
      </w:r>
    </w:p>
    <w:p w14:paraId="01092F07" w14:textId="5ECCCB49" w:rsidR="005617F7" w:rsidRPr="009B22F4" w:rsidRDefault="005617F7" w:rsidP="00420B77">
      <w:pPr>
        <w:pStyle w:val="CYDABodycopy"/>
        <w:spacing w:line="276" w:lineRule="auto"/>
        <w:rPr>
          <w:noProof w:val="0"/>
        </w:rPr>
      </w:pPr>
      <w:r>
        <w:rPr>
          <w:noProof w:val="0"/>
        </w:rPr>
        <w:t>Skye Kakoschke-Moore</w:t>
      </w:r>
      <w:r w:rsidR="4DABE20C">
        <w:rPr>
          <w:noProof w:val="0"/>
        </w:rPr>
        <w:t xml:space="preserve"> (she/her)</w:t>
      </w:r>
      <w:r>
        <w:rPr>
          <w:noProof w:val="0"/>
        </w:rPr>
        <w:t>, Chief Executive Officer</w:t>
      </w:r>
    </w:p>
    <w:p w14:paraId="1401BD3E" w14:textId="3BBF2417" w:rsidR="00A44388" w:rsidRPr="009B22F4" w:rsidRDefault="005617F7" w:rsidP="00420B77">
      <w:pPr>
        <w:pStyle w:val="CYDABodycopybold"/>
        <w:spacing w:line="276" w:lineRule="auto"/>
        <w:rPr>
          <w:noProof w:val="0"/>
        </w:rPr>
      </w:pPr>
      <w:r w:rsidRPr="009B22F4">
        <w:rPr>
          <w:noProof w:val="0"/>
        </w:rPr>
        <w:t>Contact details:</w:t>
      </w:r>
    </w:p>
    <w:p w14:paraId="12B18762" w14:textId="0C63F85E" w:rsidR="005617F7" w:rsidRPr="009B22F4" w:rsidRDefault="005617F7" w:rsidP="00420B77">
      <w:pPr>
        <w:pStyle w:val="CYDABodycopy"/>
        <w:spacing w:line="276" w:lineRule="auto"/>
        <w:rPr>
          <w:noProof w:val="0"/>
        </w:rPr>
      </w:pPr>
      <w:r w:rsidRPr="009B22F4">
        <w:rPr>
          <w:noProof w:val="0"/>
        </w:rPr>
        <w:t>Children and Young People with Disability Australia</w:t>
      </w:r>
      <w:r w:rsidRPr="009B22F4">
        <w:rPr>
          <w:noProof w:val="0"/>
        </w:rPr>
        <w:br/>
        <w:t xml:space="preserve">E. </w:t>
      </w:r>
      <w:hyperlink r:id="rId16" w:history="1">
        <w:r w:rsidRPr="009B22F4">
          <w:rPr>
            <w:rStyle w:val="Hyperlink"/>
            <w:noProof w:val="0"/>
          </w:rPr>
          <w:t>skye@cyda.org.au</w:t>
        </w:r>
      </w:hyperlink>
      <w:r w:rsidRPr="009B22F4">
        <w:rPr>
          <w:noProof w:val="0"/>
        </w:rPr>
        <w:t xml:space="preserve"> </w:t>
      </w:r>
      <w:r w:rsidRPr="009B22F4">
        <w:rPr>
          <w:noProof w:val="0"/>
        </w:rPr>
        <w:br/>
        <w:t>P. 03 9417 1025</w:t>
      </w:r>
      <w:r w:rsidRPr="009B22F4">
        <w:rPr>
          <w:noProof w:val="0"/>
        </w:rPr>
        <w:br/>
        <w:t xml:space="preserve">W. </w:t>
      </w:r>
      <w:hyperlink r:id="rId17" w:history="1">
        <w:r w:rsidRPr="009B22F4">
          <w:rPr>
            <w:rStyle w:val="Hyperlink"/>
            <w:noProof w:val="0"/>
          </w:rPr>
          <w:t>www.cyda.org.au</w:t>
        </w:r>
      </w:hyperlink>
    </w:p>
    <w:p w14:paraId="3FA36BFB" w14:textId="77777777" w:rsidR="005617F7" w:rsidRPr="009B22F4" w:rsidRDefault="005617F7" w:rsidP="00420B77">
      <w:pPr>
        <w:pStyle w:val="CYDABodycopybold"/>
        <w:spacing w:line="276" w:lineRule="auto"/>
        <w:rPr>
          <w:noProof w:val="0"/>
        </w:rPr>
      </w:pPr>
      <w:r w:rsidRPr="009B22F4">
        <w:rPr>
          <w:noProof w:val="0"/>
        </w:rPr>
        <w:t>Authors:</w:t>
      </w:r>
    </w:p>
    <w:p w14:paraId="7B724A8E" w14:textId="5A58870B" w:rsidR="005617F7" w:rsidRPr="009B22F4" w:rsidRDefault="007A0A78" w:rsidP="00420B77">
      <w:pPr>
        <w:pStyle w:val="CYDABodycopy"/>
        <w:spacing w:line="276" w:lineRule="auto"/>
        <w:rPr>
          <w:noProof w:val="0"/>
        </w:rPr>
      </w:pPr>
      <w:r>
        <w:rPr>
          <w:noProof w:val="0"/>
        </w:rPr>
        <w:t>Lauren Riessen</w:t>
      </w:r>
      <w:r w:rsidR="03373B02">
        <w:rPr>
          <w:noProof w:val="0"/>
        </w:rPr>
        <w:t xml:space="preserve"> (</w:t>
      </w:r>
      <w:r>
        <w:rPr>
          <w:noProof w:val="0"/>
        </w:rPr>
        <w:t>she/her</w:t>
      </w:r>
      <w:r w:rsidR="03373B02">
        <w:rPr>
          <w:noProof w:val="0"/>
        </w:rPr>
        <w:t>)</w:t>
      </w:r>
      <w:r w:rsidR="005617F7">
        <w:rPr>
          <w:noProof w:val="0"/>
        </w:rPr>
        <w:t xml:space="preserve">, </w:t>
      </w:r>
      <w:r>
        <w:rPr>
          <w:noProof w:val="0"/>
        </w:rPr>
        <w:t>Project Coordinator Inclusive Education</w:t>
      </w:r>
      <w:r w:rsidR="00035321">
        <w:rPr>
          <w:noProof w:val="0"/>
        </w:rPr>
        <w:t>, CYDA</w:t>
      </w:r>
    </w:p>
    <w:p w14:paraId="2227D94A" w14:textId="77777777" w:rsidR="00B03E8D" w:rsidRDefault="22AE10A8" w:rsidP="007B0F6D">
      <w:pPr>
        <w:pStyle w:val="CYDABodycopybold"/>
        <w:spacing w:line="276" w:lineRule="auto"/>
        <w:rPr>
          <w:noProof w:val="0"/>
        </w:rPr>
      </w:pPr>
      <w:r>
        <w:rPr>
          <w:noProof w:val="0"/>
        </w:rPr>
        <w:t xml:space="preserve">Reviewers: </w:t>
      </w:r>
    </w:p>
    <w:p w14:paraId="7E670979" w14:textId="1E50F085" w:rsidR="005617F7" w:rsidRPr="00E0476C" w:rsidRDefault="009B4A36" w:rsidP="00420B77">
      <w:pPr>
        <w:pStyle w:val="CYDABodycopybold"/>
        <w:spacing w:line="276" w:lineRule="auto"/>
        <w:rPr>
          <w:noProof w:val="0"/>
        </w:rPr>
      </w:pPr>
      <w:r w:rsidRPr="00E0476C">
        <w:rPr>
          <w:b w:val="0"/>
          <w:bCs w:val="0"/>
          <w:noProof w:val="0"/>
        </w:rPr>
        <w:t>Dr. Liz Hudson (She/her),</w:t>
      </w:r>
      <w:r w:rsidR="00D64D3F">
        <w:rPr>
          <w:b w:val="0"/>
          <w:bCs w:val="0"/>
          <w:noProof w:val="0"/>
        </w:rPr>
        <w:t xml:space="preserve"> </w:t>
      </w:r>
      <w:r w:rsidR="00E0476C" w:rsidRPr="00E0476C">
        <w:rPr>
          <w:b w:val="0"/>
          <w:bCs w:val="0"/>
          <w:noProof w:val="0"/>
        </w:rPr>
        <w:t>Policy and Research Manager</w:t>
      </w:r>
      <w:r w:rsidR="00035321">
        <w:rPr>
          <w:noProof w:val="0"/>
        </w:rPr>
        <w:t xml:space="preserve">, </w:t>
      </w:r>
      <w:r w:rsidR="00035321" w:rsidRPr="00035321">
        <w:rPr>
          <w:b w:val="0"/>
          <w:bCs w:val="0"/>
          <w:noProof w:val="0"/>
        </w:rPr>
        <w:t>CYDA</w:t>
      </w:r>
    </w:p>
    <w:p w14:paraId="255B7BD4" w14:textId="6419EFA8" w:rsidR="005617F7" w:rsidRPr="009B22F4" w:rsidRDefault="005617F7" w:rsidP="00420B77">
      <w:pPr>
        <w:pStyle w:val="CYDABodycopybold"/>
        <w:spacing w:line="276" w:lineRule="auto"/>
        <w:rPr>
          <w:noProof w:val="0"/>
        </w:rPr>
      </w:pPr>
      <w:r>
        <w:rPr>
          <w:noProof w:val="0"/>
        </w:rPr>
        <w:t>A note on terminology:</w:t>
      </w:r>
    </w:p>
    <w:p w14:paraId="45FE0B46" w14:textId="3C19810B" w:rsidR="001B2896" w:rsidRPr="009B22F4" w:rsidRDefault="009664FA" w:rsidP="00420B77">
      <w:pPr>
        <w:pStyle w:val="CYDABodycopy"/>
        <w:spacing w:line="276" w:lineRule="auto"/>
        <w:rPr>
          <w:noProof w:val="0"/>
        </w:rPr>
      </w:pPr>
      <w:r>
        <w:rPr>
          <w:noProof w:val="0"/>
        </w:rPr>
        <w:t>Thro</w:t>
      </w:r>
      <w:r w:rsidR="00ED265C">
        <w:rPr>
          <w:noProof w:val="0"/>
        </w:rPr>
        <w:t xml:space="preserve">ughout this submission, </w:t>
      </w:r>
      <w:r w:rsidR="005617F7">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0B1BDF2E" w14:textId="503CF0B2" w:rsidR="77610E98" w:rsidRDefault="77610E98" w:rsidP="00420B77">
      <w:pPr>
        <w:pStyle w:val="CYDABodycopybold"/>
        <w:spacing w:line="276" w:lineRule="auto"/>
        <w:rPr>
          <w:noProof w:val="0"/>
        </w:rPr>
      </w:pPr>
    </w:p>
    <w:p w14:paraId="732D870E" w14:textId="77777777" w:rsidR="008A35E5" w:rsidRDefault="008A35E5" w:rsidP="00420B77">
      <w:pPr>
        <w:pStyle w:val="CYDABodycopybold"/>
        <w:spacing w:line="276" w:lineRule="auto"/>
        <w:rPr>
          <w:noProof w:val="0"/>
        </w:rPr>
      </w:pPr>
    </w:p>
    <w:p w14:paraId="711BA38E" w14:textId="77777777" w:rsidR="008A35E5" w:rsidRDefault="008A35E5" w:rsidP="00420B77">
      <w:pPr>
        <w:pStyle w:val="CYDABodycopybold"/>
        <w:spacing w:line="276" w:lineRule="auto"/>
        <w:rPr>
          <w:noProof w:val="0"/>
        </w:rPr>
      </w:pPr>
    </w:p>
    <w:p w14:paraId="6074FA3A" w14:textId="77777777" w:rsidR="008A35E5" w:rsidRDefault="008A35E5" w:rsidP="00420B77">
      <w:pPr>
        <w:pStyle w:val="CYDABodycopybold"/>
        <w:spacing w:line="276" w:lineRule="auto"/>
        <w:rPr>
          <w:noProof w:val="0"/>
        </w:rPr>
      </w:pPr>
    </w:p>
    <w:p w14:paraId="78D3F006" w14:textId="77777777" w:rsidR="008A35E5" w:rsidRDefault="008A35E5" w:rsidP="00420B77">
      <w:pPr>
        <w:pStyle w:val="CYDABodycopybold"/>
        <w:spacing w:line="276" w:lineRule="auto"/>
        <w:rPr>
          <w:noProof w:val="0"/>
        </w:rPr>
      </w:pPr>
    </w:p>
    <w:p w14:paraId="1C65A961" w14:textId="77777777" w:rsidR="007B0F6D" w:rsidRDefault="007B0F6D" w:rsidP="007B0F6D">
      <w:pPr>
        <w:pStyle w:val="CYDABodycopybold"/>
        <w:spacing w:line="276" w:lineRule="auto"/>
        <w:rPr>
          <w:noProof w:val="0"/>
        </w:rPr>
      </w:pPr>
    </w:p>
    <w:p w14:paraId="7C423A78" w14:textId="77777777" w:rsidR="007B0F6D" w:rsidRDefault="007B0F6D" w:rsidP="007B0F6D">
      <w:pPr>
        <w:pStyle w:val="CYDABodycopybold"/>
        <w:spacing w:line="276" w:lineRule="auto"/>
        <w:rPr>
          <w:noProof w:val="0"/>
        </w:rPr>
      </w:pPr>
    </w:p>
    <w:p w14:paraId="32BB73AA" w14:textId="77777777" w:rsidR="007B0F6D" w:rsidRDefault="007B0F6D" w:rsidP="007B0F6D">
      <w:pPr>
        <w:pStyle w:val="CYDABodycopybold"/>
        <w:spacing w:line="276" w:lineRule="auto"/>
        <w:rPr>
          <w:noProof w:val="0"/>
        </w:rPr>
      </w:pPr>
    </w:p>
    <w:p w14:paraId="7A16F11D" w14:textId="4778DB9A" w:rsidR="001B2896" w:rsidRPr="009B22F4" w:rsidRDefault="001B2896" w:rsidP="00420B77">
      <w:pPr>
        <w:pStyle w:val="CYDABodycopybold"/>
        <w:spacing w:line="276" w:lineRule="auto"/>
        <w:rPr>
          <w:noProof w:val="0"/>
        </w:rPr>
      </w:pPr>
      <w:r w:rsidRPr="009B22F4">
        <w:rPr>
          <w:noProof w:val="0"/>
        </w:rPr>
        <w:t>Acknowledgements:</w:t>
      </w:r>
    </w:p>
    <w:p w14:paraId="6CAAAE94" w14:textId="6A36C3DF" w:rsidR="00374011" w:rsidRPr="009B22F4" w:rsidRDefault="001B2896" w:rsidP="00420B77">
      <w:pPr>
        <w:pStyle w:val="CYDABodycopy"/>
        <w:spacing w:line="276" w:lineRule="auto"/>
        <w:rPr>
          <w:noProof w:val="0"/>
        </w:rPr>
      </w:pPr>
      <w:r>
        <w:rPr>
          <w:noProof w:val="0"/>
        </w:rPr>
        <w:t xml:space="preserve">Children and Young People with Disability Australia would like to acknowledge the </w:t>
      </w:r>
      <w:r w:rsidR="00EB248B">
        <w:rPr>
          <w:noProof w:val="0"/>
        </w:rPr>
        <w:t>T</w:t>
      </w:r>
      <w:r>
        <w:rPr>
          <w:noProof w:val="0"/>
        </w:rPr>
        <w:t xml:space="preserve">raditional </w:t>
      </w:r>
      <w:r w:rsidR="00EB248B">
        <w:rPr>
          <w:noProof w:val="0"/>
        </w:rPr>
        <w:t>C</w:t>
      </w:r>
      <w:r>
        <w:rPr>
          <w:noProof w:val="0"/>
        </w:rPr>
        <w:t xml:space="preserve">ustodians of the </w:t>
      </w:r>
      <w:r w:rsidR="2636DE8F">
        <w:rPr>
          <w:noProof w:val="0"/>
        </w:rPr>
        <w:t>L</w:t>
      </w:r>
      <w:r>
        <w:rPr>
          <w:noProof w:val="0"/>
        </w:rPr>
        <w:t xml:space="preserve">ands on which this report has been written, reviewed and produced, whose cultures and customs have nurtured and continue to nurture this </w:t>
      </w:r>
      <w:r w:rsidR="45D03D4A">
        <w:rPr>
          <w:noProof w:val="0"/>
        </w:rPr>
        <w:t>L</w:t>
      </w:r>
      <w:r>
        <w:rPr>
          <w:noProof w:val="0"/>
        </w:rPr>
        <w:t>and since the Dreamtime. We pay our respects to their Elders past</w:t>
      </w:r>
      <w:r w:rsidR="0093763A">
        <w:rPr>
          <w:noProof w:val="0"/>
        </w:rPr>
        <w:t xml:space="preserve"> and </w:t>
      </w:r>
      <w:r>
        <w:rPr>
          <w:noProof w:val="0"/>
        </w:rPr>
        <w:t xml:space="preserve">present. This is, was, and always will be Aboriginal </w:t>
      </w:r>
      <w:r w:rsidR="274D82D7">
        <w:rPr>
          <w:noProof w:val="0"/>
        </w:rPr>
        <w:t>L</w:t>
      </w:r>
      <w:r>
        <w:rPr>
          <w:noProof w:val="0"/>
        </w:rPr>
        <w:t>and.</w:t>
      </w:r>
      <w:r>
        <w:rPr>
          <w:noProof w:val="0"/>
        </w:rPr>
        <w:br w:type="page"/>
      </w:r>
    </w:p>
    <w:p w14:paraId="0EA08133" w14:textId="4797A4FC" w:rsidR="00E04A62" w:rsidRPr="009B22F4" w:rsidRDefault="00771642" w:rsidP="00D256A0">
      <w:pPr>
        <w:rPr>
          <w:rFonts w:ascii="Arial" w:hAnsi="Arial" w:cs="Arial"/>
          <w:b/>
          <w:bCs/>
          <w:color w:val="3D444F" w:themeColor="text2"/>
          <w:sz w:val="44"/>
          <w:szCs w:val="44"/>
        </w:rPr>
      </w:pPr>
      <w:r w:rsidRPr="009B22F4">
        <w:rPr>
          <w:noProof/>
        </w:rPr>
        <w:lastRenderedPageBreak/>
        <w:drawing>
          <wp:anchor distT="0" distB="0" distL="114300" distR="114300" simplePos="0" relativeHeight="251658251" behindDoc="1" locked="0" layoutInCell="1" allowOverlap="1" wp14:anchorId="07FE209F" wp14:editId="08DF47FC">
            <wp:simplePos x="0" y="0"/>
            <wp:positionH relativeFrom="column">
              <wp:posOffset>5441315</wp:posOffset>
            </wp:positionH>
            <wp:positionV relativeFrom="paragraph">
              <wp:posOffset>-619034</wp:posOffset>
            </wp:positionV>
            <wp:extent cx="863600" cy="863600"/>
            <wp:effectExtent l="0" t="0" r="0" b="0"/>
            <wp:wrapNone/>
            <wp:docPr id="398437737" name="Picture 398437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437737" name="Picture 398437737"/>
                    <pic:cNvPicPr>
                      <a:picLocks/>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0A" w:rsidRPr="009B22F4">
        <w:rPr>
          <w:rFonts w:ascii="Arial" w:hAnsi="Arial" w:cs="Arial"/>
          <w:b/>
          <w:bCs/>
          <w:color w:val="3D444F" w:themeColor="text2"/>
          <w:sz w:val="44"/>
          <w:szCs w:val="44"/>
        </w:rPr>
        <w:t>Contents</w:t>
      </w:r>
      <w:r w:rsidR="00D256A0" w:rsidRPr="009B22F4">
        <w:rPr>
          <w:rFonts w:ascii="Arial" w:hAnsi="Arial" w:cs="Arial"/>
          <w:b/>
          <w:bCs/>
          <w:color w:val="3D444F" w:themeColor="text2"/>
          <w:sz w:val="44"/>
          <w:szCs w:val="44"/>
        </w:rPr>
        <w:br/>
      </w:r>
    </w:p>
    <w:p w14:paraId="31F28E36" w14:textId="1B8CF1FC" w:rsidR="001A1F2B" w:rsidRDefault="4CF8E8CD">
      <w:pPr>
        <w:pStyle w:val="TOC1"/>
        <w:rPr>
          <w:rFonts w:asciiTheme="minorHAnsi" w:eastAsiaTheme="minorEastAsia" w:hAnsiTheme="minorHAnsi" w:cstheme="minorBidi"/>
          <w:b w:val="0"/>
          <w:bCs w:val="0"/>
          <w:kern w:val="2"/>
          <w:lang w:eastAsia="en-AU"/>
          <w14:ligatures w14:val="standardContextual"/>
        </w:rPr>
      </w:pPr>
      <w:r w:rsidRPr="009B22F4">
        <w:fldChar w:fldCharType="begin"/>
      </w:r>
      <w:r w:rsidR="00FB7F0A" w:rsidRPr="009B22F4">
        <w:instrText>TOC \o "1-3" \h \z \u</w:instrText>
      </w:r>
      <w:r w:rsidRPr="009B22F4">
        <w:fldChar w:fldCharType="separate"/>
      </w:r>
      <w:hyperlink w:anchor="_Toc211524718" w:history="1">
        <w:r w:rsidR="001A1F2B" w:rsidRPr="00C32E21">
          <w:rPr>
            <w:rStyle w:val="Hyperlink"/>
          </w:rPr>
          <w:t>Summary of recommendations</w:t>
        </w:r>
        <w:r w:rsidR="001A1F2B">
          <w:rPr>
            <w:webHidden/>
          </w:rPr>
          <w:tab/>
        </w:r>
        <w:r w:rsidR="001A1F2B">
          <w:rPr>
            <w:webHidden/>
          </w:rPr>
          <w:fldChar w:fldCharType="begin"/>
        </w:r>
        <w:r w:rsidR="001A1F2B">
          <w:rPr>
            <w:webHidden/>
          </w:rPr>
          <w:instrText xml:space="preserve"> PAGEREF _Toc211524718 \h </w:instrText>
        </w:r>
        <w:r w:rsidR="001A1F2B">
          <w:rPr>
            <w:webHidden/>
          </w:rPr>
        </w:r>
        <w:r w:rsidR="001A1F2B">
          <w:rPr>
            <w:webHidden/>
          </w:rPr>
          <w:fldChar w:fldCharType="separate"/>
        </w:r>
        <w:r w:rsidR="00625F27">
          <w:rPr>
            <w:webHidden/>
          </w:rPr>
          <w:t>4</w:t>
        </w:r>
        <w:r w:rsidR="001A1F2B">
          <w:rPr>
            <w:webHidden/>
          </w:rPr>
          <w:fldChar w:fldCharType="end"/>
        </w:r>
      </w:hyperlink>
    </w:p>
    <w:p w14:paraId="41466F7B" w14:textId="0CA7959A" w:rsidR="001A1F2B" w:rsidRDefault="001A1F2B">
      <w:pPr>
        <w:pStyle w:val="TOC1"/>
        <w:rPr>
          <w:rFonts w:asciiTheme="minorHAnsi" w:eastAsiaTheme="minorEastAsia" w:hAnsiTheme="minorHAnsi" w:cstheme="minorBidi"/>
          <w:b w:val="0"/>
          <w:bCs w:val="0"/>
          <w:kern w:val="2"/>
          <w:lang w:eastAsia="en-AU"/>
          <w14:ligatures w14:val="standardContextual"/>
        </w:rPr>
      </w:pPr>
      <w:hyperlink w:anchor="_Toc211524719" w:history="1">
        <w:r w:rsidRPr="00C32E21">
          <w:rPr>
            <w:rStyle w:val="Hyperlink"/>
          </w:rPr>
          <w:t>Introduction</w:t>
        </w:r>
        <w:r>
          <w:rPr>
            <w:webHidden/>
          </w:rPr>
          <w:tab/>
        </w:r>
        <w:r>
          <w:rPr>
            <w:webHidden/>
          </w:rPr>
          <w:fldChar w:fldCharType="begin"/>
        </w:r>
        <w:r>
          <w:rPr>
            <w:webHidden/>
          </w:rPr>
          <w:instrText xml:space="preserve"> PAGEREF _Toc211524719 \h </w:instrText>
        </w:r>
        <w:r>
          <w:rPr>
            <w:webHidden/>
          </w:rPr>
        </w:r>
        <w:r>
          <w:rPr>
            <w:webHidden/>
          </w:rPr>
          <w:fldChar w:fldCharType="separate"/>
        </w:r>
        <w:r w:rsidR="00625F27">
          <w:rPr>
            <w:webHidden/>
          </w:rPr>
          <w:t>5</w:t>
        </w:r>
        <w:r>
          <w:rPr>
            <w:webHidden/>
          </w:rPr>
          <w:fldChar w:fldCharType="end"/>
        </w:r>
      </w:hyperlink>
    </w:p>
    <w:p w14:paraId="462F8E8F" w14:textId="1D4EE579" w:rsidR="001A1F2B" w:rsidRDefault="001A1F2B">
      <w:pPr>
        <w:pStyle w:val="TOC1"/>
        <w:rPr>
          <w:rFonts w:asciiTheme="minorHAnsi" w:eastAsiaTheme="minorEastAsia" w:hAnsiTheme="minorHAnsi" w:cstheme="minorBidi"/>
          <w:b w:val="0"/>
          <w:bCs w:val="0"/>
          <w:kern w:val="2"/>
          <w:lang w:eastAsia="en-AU"/>
          <w14:ligatures w14:val="standardContextual"/>
        </w:rPr>
      </w:pPr>
      <w:hyperlink w:anchor="_Toc211524720" w:history="1">
        <w:r w:rsidRPr="00C32E21">
          <w:rPr>
            <w:rStyle w:val="Hyperlink"/>
          </w:rPr>
          <w:t>Part 1: A system that puts students first</w:t>
        </w:r>
        <w:r>
          <w:rPr>
            <w:webHidden/>
          </w:rPr>
          <w:tab/>
        </w:r>
        <w:r>
          <w:rPr>
            <w:webHidden/>
          </w:rPr>
          <w:fldChar w:fldCharType="begin"/>
        </w:r>
        <w:r>
          <w:rPr>
            <w:webHidden/>
          </w:rPr>
          <w:instrText xml:space="preserve"> PAGEREF _Toc211524720 \h </w:instrText>
        </w:r>
        <w:r>
          <w:rPr>
            <w:webHidden/>
          </w:rPr>
        </w:r>
        <w:r>
          <w:rPr>
            <w:webHidden/>
          </w:rPr>
          <w:fldChar w:fldCharType="separate"/>
        </w:r>
        <w:r w:rsidR="00625F27">
          <w:rPr>
            <w:webHidden/>
          </w:rPr>
          <w:t>7</w:t>
        </w:r>
        <w:r>
          <w:rPr>
            <w:webHidden/>
          </w:rPr>
          <w:fldChar w:fldCharType="end"/>
        </w:r>
      </w:hyperlink>
    </w:p>
    <w:p w14:paraId="297CEBBA" w14:textId="2921FD45" w:rsidR="001A1F2B" w:rsidRDefault="001A1F2B">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524721" w:history="1">
        <w:r w:rsidRPr="00C32E21">
          <w:rPr>
            <w:rStyle w:val="Hyperlink"/>
            <w:noProof/>
          </w:rPr>
          <w:t>Recommendation 1: Place students with disability at the centre of reform</w:t>
        </w:r>
        <w:r>
          <w:rPr>
            <w:noProof/>
            <w:webHidden/>
          </w:rPr>
          <w:tab/>
        </w:r>
        <w:r>
          <w:rPr>
            <w:noProof/>
            <w:webHidden/>
          </w:rPr>
          <w:fldChar w:fldCharType="begin"/>
        </w:r>
        <w:r>
          <w:rPr>
            <w:noProof/>
            <w:webHidden/>
          </w:rPr>
          <w:instrText xml:space="preserve"> PAGEREF _Toc211524721 \h </w:instrText>
        </w:r>
        <w:r>
          <w:rPr>
            <w:noProof/>
            <w:webHidden/>
          </w:rPr>
        </w:r>
        <w:r>
          <w:rPr>
            <w:noProof/>
            <w:webHidden/>
          </w:rPr>
          <w:fldChar w:fldCharType="separate"/>
        </w:r>
        <w:r w:rsidR="00625F27">
          <w:rPr>
            <w:noProof/>
            <w:webHidden/>
          </w:rPr>
          <w:t>7</w:t>
        </w:r>
        <w:r>
          <w:rPr>
            <w:noProof/>
            <w:webHidden/>
          </w:rPr>
          <w:fldChar w:fldCharType="end"/>
        </w:r>
      </w:hyperlink>
    </w:p>
    <w:p w14:paraId="386C0800" w14:textId="073DCD19" w:rsidR="001A1F2B" w:rsidRDefault="001A1F2B">
      <w:pPr>
        <w:pStyle w:val="TOC1"/>
        <w:rPr>
          <w:rFonts w:asciiTheme="minorHAnsi" w:eastAsiaTheme="minorEastAsia" w:hAnsiTheme="minorHAnsi" w:cstheme="minorBidi"/>
          <w:b w:val="0"/>
          <w:bCs w:val="0"/>
          <w:kern w:val="2"/>
          <w:lang w:eastAsia="en-AU"/>
          <w14:ligatures w14:val="standardContextual"/>
        </w:rPr>
      </w:pPr>
      <w:hyperlink w:anchor="_Toc211524722" w:history="1">
        <w:r w:rsidRPr="00C32E21">
          <w:rPr>
            <w:rStyle w:val="Hyperlink"/>
          </w:rPr>
          <w:t>Part 2: Powers to address emerging and systemic challenges</w:t>
        </w:r>
        <w:r>
          <w:rPr>
            <w:webHidden/>
          </w:rPr>
          <w:tab/>
        </w:r>
        <w:r>
          <w:rPr>
            <w:webHidden/>
          </w:rPr>
          <w:fldChar w:fldCharType="begin"/>
        </w:r>
        <w:r>
          <w:rPr>
            <w:webHidden/>
          </w:rPr>
          <w:instrText xml:space="preserve"> PAGEREF _Toc211524722 \h </w:instrText>
        </w:r>
        <w:r>
          <w:rPr>
            <w:webHidden/>
          </w:rPr>
        </w:r>
        <w:r>
          <w:rPr>
            <w:webHidden/>
          </w:rPr>
          <w:fldChar w:fldCharType="separate"/>
        </w:r>
        <w:r w:rsidR="00625F27">
          <w:rPr>
            <w:webHidden/>
          </w:rPr>
          <w:t>9</w:t>
        </w:r>
        <w:r>
          <w:rPr>
            <w:webHidden/>
          </w:rPr>
          <w:fldChar w:fldCharType="end"/>
        </w:r>
      </w:hyperlink>
    </w:p>
    <w:p w14:paraId="237BC224" w14:textId="25E6479A" w:rsidR="001A1F2B" w:rsidRDefault="001A1F2B">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524723" w:history="1">
        <w:r w:rsidRPr="00C32E21">
          <w:rPr>
            <w:rStyle w:val="Hyperlink"/>
            <w:noProof/>
          </w:rPr>
          <w:t>Recommendation 2:  Strengthen TEQSA’s powers to enforce disability standards in higher education</w:t>
        </w:r>
        <w:r>
          <w:rPr>
            <w:noProof/>
            <w:webHidden/>
          </w:rPr>
          <w:tab/>
        </w:r>
        <w:r>
          <w:rPr>
            <w:noProof/>
            <w:webHidden/>
          </w:rPr>
          <w:fldChar w:fldCharType="begin"/>
        </w:r>
        <w:r>
          <w:rPr>
            <w:noProof/>
            <w:webHidden/>
          </w:rPr>
          <w:instrText xml:space="preserve"> PAGEREF _Toc211524723 \h </w:instrText>
        </w:r>
        <w:r>
          <w:rPr>
            <w:noProof/>
            <w:webHidden/>
          </w:rPr>
        </w:r>
        <w:r>
          <w:rPr>
            <w:noProof/>
            <w:webHidden/>
          </w:rPr>
          <w:fldChar w:fldCharType="separate"/>
        </w:r>
        <w:r w:rsidR="00625F27">
          <w:rPr>
            <w:noProof/>
            <w:webHidden/>
          </w:rPr>
          <w:t>9</w:t>
        </w:r>
        <w:r>
          <w:rPr>
            <w:noProof/>
            <w:webHidden/>
          </w:rPr>
          <w:fldChar w:fldCharType="end"/>
        </w:r>
      </w:hyperlink>
    </w:p>
    <w:p w14:paraId="5DD3A642" w14:textId="08DB517D" w:rsidR="001A1F2B" w:rsidRDefault="001A1F2B">
      <w:pPr>
        <w:pStyle w:val="TOC1"/>
        <w:rPr>
          <w:rFonts w:asciiTheme="minorHAnsi" w:eastAsiaTheme="minorEastAsia" w:hAnsiTheme="minorHAnsi" w:cstheme="minorBidi"/>
          <w:b w:val="0"/>
          <w:bCs w:val="0"/>
          <w:kern w:val="2"/>
          <w:lang w:eastAsia="en-AU"/>
          <w14:ligatures w14:val="standardContextual"/>
        </w:rPr>
      </w:pPr>
      <w:hyperlink w:anchor="_Toc211524724" w:history="1">
        <w:r w:rsidRPr="00C32E21">
          <w:rPr>
            <w:rStyle w:val="Hyperlink"/>
          </w:rPr>
          <w:t>Part 3: Streamlined regulation for providers</w:t>
        </w:r>
        <w:r>
          <w:rPr>
            <w:webHidden/>
          </w:rPr>
          <w:tab/>
        </w:r>
        <w:r>
          <w:rPr>
            <w:webHidden/>
          </w:rPr>
          <w:fldChar w:fldCharType="begin"/>
        </w:r>
        <w:r>
          <w:rPr>
            <w:webHidden/>
          </w:rPr>
          <w:instrText xml:space="preserve"> PAGEREF _Toc211524724 \h </w:instrText>
        </w:r>
        <w:r>
          <w:rPr>
            <w:webHidden/>
          </w:rPr>
        </w:r>
        <w:r>
          <w:rPr>
            <w:webHidden/>
          </w:rPr>
          <w:fldChar w:fldCharType="separate"/>
        </w:r>
        <w:r w:rsidR="00625F27">
          <w:rPr>
            <w:webHidden/>
          </w:rPr>
          <w:t>12</w:t>
        </w:r>
        <w:r>
          <w:rPr>
            <w:webHidden/>
          </w:rPr>
          <w:fldChar w:fldCharType="end"/>
        </w:r>
      </w:hyperlink>
    </w:p>
    <w:p w14:paraId="1B9E213F" w14:textId="6F9C91BC" w:rsidR="001A1F2B" w:rsidRDefault="001A1F2B">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524725" w:history="1">
        <w:r w:rsidRPr="00C32E21">
          <w:rPr>
            <w:rStyle w:val="Hyperlink"/>
            <w:noProof/>
          </w:rPr>
          <w:t>Recommendation 3: Elevate curriculum standards in high-impact programs</w:t>
        </w:r>
        <w:r>
          <w:rPr>
            <w:noProof/>
            <w:webHidden/>
          </w:rPr>
          <w:tab/>
        </w:r>
        <w:r>
          <w:rPr>
            <w:noProof/>
            <w:webHidden/>
          </w:rPr>
          <w:fldChar w:fldCharType="begin"/>
        </w:r>
        <w:r>
          <w:rPr>
            <w:noProof/>
            <w:webHidden/>
          </w:rPr>
          <w:instrText xml:space="preserve"> PAGEREF _Toc211524725 \h </w:instrText>
        </w:r>
        <w:r>
          <w:rPr>
            <w:noProof/>
            <w:webHidden/>
          </w:rPr>
        </w:r>
        <w:r>
          <w:rPr>
            <w:noProof/>
            <w:webHidden/>
          </w:rPr>
          <w:fldChar w:fldCharType="separate"/>
        </w:r>
        <w:r w:rsidR="00625F27">
          <w:rPr>
            <w:noProof/>
            <w:webHidden/>
          </w:rPr>
          <w:t>12</w:t>
        </w:r>
        <w:r>
          <w:rPr>
            <w:noProof/>
            <w:webHidden/>
          </w:rPr>
          <w:fldChar w:fldCharType="end"/>
        </w:r>
      </w:hyperlink>
    </w:p>
    <w:p w14:paraId="1C6E3D9D" w14:textId="7CDFDD85" w:rsidR="001A1F2B" w:rsidRDefault="001A1F2B">
      <w:pPr>
        <w:pStyle w:val="TOC1"/>
        <w:rPr>
          <w:rFonts w:asciiTheme="minorHAnsi" w:eastAsiaTheme="minorEastAsia" w:hAnsiTheme="minorHAnsi" w:cstheme="minorBidi"/>
          <w:b w:val="0"/>
          <w:bCs w:val="0"/>
          <w:kern w:val="2"/>
          <w:lang w:eastAsia="en-AU"/>
          <w14:ligatures w14:val="standardContextual"/>
        </w:rPr>
      </w:pPr>
      <w:hyperlink w:anchor="_Toc211524726" w:history="1">
        <w:r w:rsidRPr="00C32E21">
          <w:rPr>
            <w:rStyle w:val="Hyperlink"/>
          </w:rPr>
          <w:t>Part 4: A joined-up tertiary system</w:t>
        </w:r>
        <w:r>
          <w:rPr>
            <w:webHidden/>
          </w:rPr>
          <w:tab/>
        </w:r>
        <w:r>
          <w:rPr>
            <w:webHidden/>
          </w:rPr>
          <w:fldChar w:fldCharType="begin"/>
        </w:r>
        <w:r>
          <w:rPr>
            <w:webHidden/>
          </w:rPr>
          <w:instrText xml:space="preserve"> PAGEREF _Toc211524726 \h </w:instrText>
        </w:r>
        <w:r>
          <w:rPr>
            <w:webHidden/>
          </w:rPr>
        </w:r>
        <w:r>
          <w:rPr>
            <w:webHidden/>
          </w:rPr>
          <w:fldChar w:fldCharType="separate"/>
        </w:r>
        <w:r w:rsidR="00625F27">
          <w:rPr>
            <w:webHidden/>
          </w:rPr>
          <w:t>14</w:t>
        </w:r>
        <w:r>
          <w:rPr>
            <w:webHidden/>
          </w:rPr>
          <w:fldChar w:fldCharType="end"/>
        </w:r>
      </w:hyperlink>
    </w:p>
    <w:p w14:paraId="4C3E6DB3" w14:textId="0E9AD82B" w:rsidR="001A1F2B" w:rsidRDefault="001A1F2B">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524727" w:history="1">
        <w:r w:rsidRPr="00C32E21">
          <w:rPr>
            <w:rStyle w:val="Hyperlink"/>
            <w:noProof/>
          </w:rPr>
          <w:t>Recommendation 4: Drive a joined-up systems approach across education pathways</w:t>
        </w:r>
        <w:r>
          <w:rPr>
            <w:noProof/>
            <w:webHidden/>
          </w:rPr>
          <w:tab/>
        </w:r>
        <w:r>
          <w:rPr>
            <w:noProof/>
            <w:webHidden/>
          </w:rPr>
          <w:fldChar w:fldCharType="begin"/>
        </w:r>
        <w:r>
          <w:rPr>
            <w:noProof/>
            <w:webHidden/>
          </w:rPr>
          <w:instrText xml:space="preserve"> PAGEREF _Toc211524727 \h </w:instrText>
        </w:r>
        <w:r>
          <w:rPr>
            <w:noProof/>
            <w:webHidden/>
          </w:rPr>
        </w:r>
        <w:r>
          <w:rPr>
            <w:noProof/>
            <w:webHidden/>
          </w:rPr>
          <w:fldChar w:fldCharType="separate"/>
        </w:r>
        <w:r w:rsidR="00625F27">
          <w:rPr>
            <w:noProof/>
            <w:webHidden/>
          </w:rPr>
          <w:t>14</w:t>
        </w:r>
        <w:r>
          <w:rPr>
            <w:noProof/>
            <w:webHidden/>
          </w:rPr>
          <w:fldChar w:fldCharType="end"/>
        </w:r>
      </w:hyperlink>
    </w:p>
    <w:p w14:paraId="49DB7AAA" w14:textId="326EF2BC" w:rsidR="4CF8E8CD" w:rsidRPr="009B22F4" w:rsidRDefault="4CF8E8CD" w:rsidP="00D4792C">
      <w:pPr>
        <w:pStyle w:val="TOC1"/>
      </w:pPr>
      <w:r w:rsidRPr="009B22F4">
        <w:fldChar w:fldCharType="end"/>
      </w:r>
    </w:p>
    <w:p w14:paraId="60217860" w14:textId="5EA138E8" w:rsidR="00A44388" w:rsidRPr="009B22F4" w:rsidRDefault="00A44388" w:rsidP="00FB7F0A"/>
    <w:p w14:paraId="13928162" w14:textId="64C5A69C" w:rsidR="00A44388" w:rsidRPr="009B22F4" w:rsidRDefault="00A44388" w:rsidP="00FB7F0A">
      <w:pPr>
        <w:sectPr w:rsidR="00A44388" w:rsidRPr="009B22F4" w:rsidSect="00AB7511">
          <w:footerReference w:type="default" r:id="rId19"/>
          <w:pgSz w:w="11906" w:h="16838"/>
          <w:pgMar w:top="1426" w:right="1677" w:bottom="1436" w:left="1440" w:header="708" w:footer="708" w:gutter="0"/>
          <w:cols w:space="708"/>
          <w:docGrid w:linePitch="360"/>
        </w:sectPr>
      </w:pPr>
    </w:p>
    <w:p w14:paraId="1120EEA1" w14:textId="122B0E8D" w:rsidR="008021FF" w:rsidRPr="009B22F4" w:rsidRDefault="00717046">
      <w:pPr>
        <w:rPr>
          <w:rFonts w:ascii="Arial" w:hAnsi="Arial" w:cs="Arial"/>
          <w:b/>
          <w:bCs/>
          <w:color w:val="3E444F"/>
          <w:sz w:val="44"/>
          <w:szCs w:val="44"/>
        </w:rPr>
      </w:pPr>
      <w:r w:rsidRPr="008A5009">
        <w:lastRenderedPageBreak/>
        <w:drawing>
          <wp:anchor distT="0" distB="0" distL="114300" distR="114300" simplePos="0" relativeHeight="251658246" behindDoc="1" locked="0" layoutInCell="1" allowOverlap="1" wp14:anchorId="37E4F3CE" wp14:editId="5FB91177">
            <wp:simplePos x="0" y="0"/>
            <wp:positionH relativeFrom="column">
              <wp:posOffset>5407025</wp:posOffset>
            </wp:positionH>
            <wp:positionV relativeFrom="paragraph">
              <wp:posOffset>-702310</wp:posOffset>
            </wp:positionV>
            <wp:extent cx="863600" cy="863600"/>
            <wp:effectExtent l="0" t="0" r="0" b="0"/>
            <wp:wrapNone/>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67"/>
                    <pic:cNvPicPr>
                      <a:picLocks/>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F47DE" w14:textId="77777777" w:rsidR="008021FF" w:rsidRPr="009B22F4" w:rsidRDefault="008021FF" w:rsidP="008021FF">
      <w:pPr>
        <w:pStyle w:val="CYDABodycopy"/>
        <w:rPr>
          <w:noProof w:val="0"/>
        </w:rPr>
        <w:sectPr w:rsidR="008021FF" w:rsidRPr="009B22F4" w:rsidSect="00AB7511">
          <w:footerReference w:type="default" r:id="rId21"/>
          <w:pgSz w:w="11906" w:h="16838"/>
          <w:pgMar w:top="1552" w:right="1252" w:bottom="1440" w:left="1440" w:header="708" w:footer="708" w:gutter="0"/>
          <w:cols w:space="708"/>
          <w:docGrid w:linePitch="360"/>
        </w:sectPr>
      </w:pPr>
    </w:p>
    <w:p w14:paraId="286D22F0" w14:textId="4520B0CA" w:rsidR="00A44388" w:rsidRPr="008A5009" w:rsidRDefault="005F323B" w:rsidP="00420B77">
      <w:pPr>
        <w:pStyle w:val="Heading1"/>
        <w:spacing w:line="276" w:lineRule="auto"/>
        <w:rPr>
          <w:noProof w:val="0"/>
        </w:rPr>
      </w:pPr>
      <w:bookmarkStart w:id="0" w:name="_Toc211524718"/>
      <w:r w:rsidRPr="008A5009">
        <w:rPr>
          <w:noProof w:val="0"/>
        </w:rPr>
        <w:t>Summary of recommendations</w:t>
      </w:r>
      <w:bookmarkEnd w:id="0"/>
      <w:r w:rsidR="003B2CC4" w:rsidRPr="008A5009">
        <w:rPr>
          <w:noProof w:val="0"/>
        </w:rPr>
        <w:t xml:space="preserve"> </w:t>
      </w:r>
    </w:p>
    <w:p w14:paraId="554CADC4" w14:textId="5F68405E" w:rsidR="00A44388" w:rsidRPr="008A5009" w:rsidRDefault="417A9AA5" w:rsidP="00420B77">
      <w:pPr>
        <w:pStyle w:val="CYDABodybullets"/>
        <w:numPr>
          <w:ilvl w:val="0"/>
          <w:numId w:val="0"/>
        </w:numPr>
        <w:spacing w:line="276" w:lineRule="auto"/>
        <w:rPr>
          <w:rFonts w:eastAsia="Aptos"/>
          <w:b/>
          <w:bCs/>
          <w:noProof w:val="0"/>
        </w:rPr>
      </w:pPr>
      <w:r w:rsidRPr="008A5009">
        <w:rPr>
          <w:rFonts w:eastAsia="Aptos"/>
          <w:b/>
          <w:bCs/>
          <w:noProof w:val="0"/>
        </w:rPr>
        <w:t>Recommendation 1:  Place students with disability at the centre of reform</w:t>
      </w:r>
    </w:p>
    <w:p w14:paraId="4E82E553" w14:textId="3E693CCE" w:rsidR="00A44388" w:rsidRPr="008A5009" w:rsidRDefault="417A9AA5" w:rsidP="00420B77">
      <w:pPr>
        <w:pStyle w:val="CYDABodybullets"/>
        <w:spacing w:after="0" w:line="276" w:lineRule="auto"/>
        <w:rPr>
          <w:rFonts w:eastAsia="Aptos"/>
          <w:noProof w:val="0"/>
        </w:rPr>
      </w:pPr>
      <w:r w:rsidRPr="008A5009">
        <w:rPr>
          <w:rFonts w:eastAsia="Aptos"/>
          <w:b/>
          <w:bCs/>
          <w:noProof w:val="0"/>
        </w:rPr>
        <w:t>Embed student voice</w:t>
      </w:r>
      <w:r w:rsidRPr="008A5009">
        <w:rPr>
          <w:rFonts w:eastAsia="Aptos"/>
          <w:noProof w:val="0"/>
        </w:rPr>
        <w:t xml:space="preserve"> through co-design in revisions to the Higher Education Standards Frameworks</w:t>
      </w:r>
      <w:r w:rsidR="003E577E">
        <w:rPr>
          <w:rFonts w:eastAsia="Aptos"/>
          <w:noProof w:val="0"/>
        </w:rPr>
        <w:t>.</w:t>
      </w:r>
    </w:p>
    <w:p w14:paraId="58D81ADF" w14:textId="56001FED" w:rsidR="00A44388" w:rsidRPr="008A5009" w:rsidRDefault="417A9AA5" w:rsidP="00420B77">
      <w:pPr>
        <w:pStyle w:val="CYDABodybullets"/>
        <w:spacing w:after="0" w:line="276" w:lineRule="auto"/>
        <w:rPr>
          <w:rFonts w:eastAsia="Aptos"/>
          <w:noProof w:val="0"/>
        </w:rPr>
      </w:pPr>
      <w:r w:rsidRPr="008A5009">
        <w:rPr>
          <w:rFonts w:eastAsia="Aptos"/>
          <w:b/>
          <w:bCs/>
          <w:noProof w:val="0"/>
        </w:rPr>
        <w:t xml:space="preserve">Introduce </w:t>
      </w:r>
      <w:r w:rsidR="000A0ACC">
        <w:rPr>
          <w:rFonts w:eastAsia="Aptos"/>
          <w:b/>
          <w:bCs/>
          <w:noProof w:val="0"/>
        </w:rPr>
        <w:t>a</w:t>
      </w:r>
      <w:r w:rsidRPr="008A5009">
        <w:rPr>
          <w:rFonts w:eastAsia="Aptos"/>
          <w:b/>
          <w:bCs/>
          <w:noProof w:val="0"/>
        </w:rPr>
        <w:t xml:space="preserve"> </w:t>
      </w:r>
      <w:r w:rsidR="00CE53B5">
        <w:rPr>
          <w:rFonts w:eastAsia="Aptos"/>
          <w:b/>
          <w:bCs/>
          <w:noProof w:val="0"/>
        </w:rPr>
        <w:t>p</w:t>
      </w:r>
      <w:r w:rsidRPr="008A5009">
        <w:rPr>
          <w:rFonts w:eastAsia="Aptos"/>
          <w:b/>
          <w:bCs/>
          <w:noProof w:val="0"/>
        </w:rPr>
        <w:t xml:space="preserve">ositive </w:t>
      </w:r>
      <w:r w:rsidR="00CE53B5">
        <w:rPr>
          <w:rFonts w:eastAsia="Aptos"/>
          <w:b/>
          <w:bCs/>
          <w:noProof w:val="0"/>
        </w:rPr>
        <w:t>d</w:t>
      </w:r>
      <w:r w:rsidRPr="008A5009">
        <w:rPr>
          <w:rFonts w:eastAsia="Aptos"/>
          <w:b/>
          <w:bCs/>
          <w:noProof w:val="0"/>
        </w:rPr>
        <w:t xml:space="preserve">uty </w:t>
      </w:r>
      <w:r w:rsidRPr="008A5009">
        <w:rPr>
          <w:rFonts w:eastAsia="Aptos"/>
          <w:noProof w:val="0"/>
        </w:rPr>
        <w:t>requiring universities to proactively ensure access, participation and inclusion of students with disability across all aspects of student life</w:t>
      </w:r>
      <w:r w:rsidR="003E577E">
        <w:rPr>
          <w:rFonts w:eastAsia="Aptos"/>
          <w:noProof w:val="0"/>
        </w:rPr>
        <w:t>.</w:t>
      </w:r>
    </w:p>
    <w:p w14:paraId="0BC0CE87" w14:textId="68917D17" w:rsidR="00D31FD3" w:rsidRDefault="417A9AA5" w:rsidP="00420B77">
      <w:pPr>
        <w:pStyle w:val="CYDABodybullets"/>
        <w:spacing w:after="0" w:line="276" w:lineRule="auto"/>
        <w:rPr>
          <w:rFonts w:eastAsia="Aptos"/>
          <w:noProof w:val="0"/>
        </w:rPr>
      </w:pPr>
      <w:r w:rsidRPr="008A5009">
        <w:rPr>
          <w:rFonts w:eastAsia="Aptos"/>
          <w:b/>
          <w:bCs/>
          <w:noProof w:val="0"/>
        </w:rPr>
        <w:t xml:space="preserve">Mandate </w:t>
      </w:r>
      <w:r w:rsidR="009910E0">
        <w:rPr>
          <w:rFonts w:eastAsia="Aptos"/>
          <w:b/>
          <w:bCs/>
          <w:noProof w:val="0"/>
        </w:rPr>
        <w:t>p</w:t>
      </w:r>
      <w:r w:rsidRPr="008A5009">
        <w:rPr>
          <w:rFonts w:eastAsia="Aptos"/>
          <w:b/>
          <w:bCs/>
          <w:noProof w:val="0"/>
        </w:rPr>
        <w:t xml:space="preserve">ublic </w:t>
      </w:r>
      <w:r w:rsidR="009910E0">
        <w:rPr>
          <w:rFonts w:eastAsia="Aptos"/>
          <w:b/>
          <w:bCs/>
          <w:noProof w:val="0"/>
        </w:rPr>
        <w:t>d</w:t>
      </w:r>
      <w:r w:rsidRPr="008A5009">
        <w:rPr>
          <w:rFonts w:eastAsia="Aptos"/>
          <w:b/>
          <w:bCs/>
          <w:noProof w:val="0"/>
        </w:rPr>
        <w:t>isclosure</w:t>
      </w:r>
      <w:r w:rsidRPr="008A5009">
        <w:rPr>
          <w:rFonts w:eastAsia="Aptos"/>
          <w:noProof w:val="0"/>
        </w:rPr>
        <w:t xml:space="preserve"> of accessibility and inclusion indicators to drive accountability and transparency. </w:t>
      </w:r>
    </w:p>
    <w:p w14:paraId="22DE80DD" w14:textId="77777777" w:rsidR="008A35E5" w:rsidRPr="008A35E5" w:rsidRDefault="008A35E5" w:rsidP="00420B77">
      <w:pPr>
        <w:pStyle w:val="CYDABodybullets"/>
        <w:numPr>
          <w:ilvl w:val="0"/>
          <w:numId w:val="0"/>
        </w:numPr>
        <w:spacing w:after="0" w:line="276" w:lineRule="auto"/>
        <w:ind w:left="709"/>
        <w:rPr>
          <w:rFonts w:eastAsia="Aptos"/>
          <w:noProof w:val="0"/>
        </w:rPr>
      </w:pPr>
    </w:p>
    <w:p w14:paraId="6C6D9563" w14:textId="3D877546" w:rsidR="00A44388" w:rsidRPr="008A5009" w:rsidRDefault="417A9AA5" w:rsidP="00420B77">
      <w:pPr>
        <w:pStyle w:val="CYDABodybullets"/>
        <w:numPr>
          <w:ilvl w:val="0"/>
          <w:numId w:val="0"/>
        </w:numPr>
        <w:spacing w:line="276" w:lineRule="auto"/>
        <w:rPr>
          <w:rFonts w:eastAsia="Aptos"/>
          <w:b/>
          <w:bCs/>
          <w:noProof w:val="0"/>
        </w:rPr>
      </w:pPr>
      <w:r w:rsidRPr="008A5009">
        <w:rPr>
          <w:rFonts w:eastAsia="Aptos"/>
          <w:b/>
          <w:bCs/>
          <w:noProof w:val="0"/>
        </w:rPr>
        <w:t>Recommendation 2: Strengthen TEQSA’s powers to enforce disability standards in higher education</w:t>
      </w:r>
    </w:p>
    <w:p w14:paraId="6DA6FDC6" w14:textId="38A0454A" w:rsidR="00A44388" w:rsidRPr="008A5009" w:rsidRDefault="417A9AA5" w:rsidP="00420B77">
      <w:pPr>
        <w:pStyle w:val="CYDABodybullets"/>
        <w:spacing w:after="0" w:line="276" w:lineRule="auto"/>
        <w:rPr>
          <w:rFonts w:eastAsia="Aptos"/>
          <w:noProof w:val="0"/>
        </w:rPr>
      </w:pPr>
      <w:r w:rsidRPr="008A5009">
        <w:rPr>
          <w:rFonts w:eastAsia="Aptos"/>
          <w:b/>
          <w:bCs/>
          <w:noProof w:val="0"/>
        </w:rPr>
        <w:t>Require annual reporting</w:t>
      </w:r>
      <w:r w:rsidRPr="008A5009">
        <w:rPr>
          <w:rFonts w:eastAsia="Aptos"/>
          <w:noProof w:val="0"/>
        </w:rPr>
        <w:t xml:space="preserve"> on institutional Disability Action Plans and outcomes achieved</w:t>
      </w:r>
      <w:r w:rsidR="006E1519">
        <w:rPr>
          <w:rFonts w:eastAsia="Aptos"/>
          <w:noProof w:val="0"/>
        </w:rPr>
        <w:t>.</w:t>
      </w:r>
    </w:p>
    <w:p w14:paraId="60E97E39" w14:textId="7B3D2966" w:rsidR="00A44388" w:rsidRPr="008A5009" w:rsidRDefault="417A9AA5" w:rsidP="00420B77">
      <w:pPr>
        <w:pStyle w:val="CYDABodybullets"/>
        <w:spacing w:after="0" w:line="276" w:lineRule="auto"/>
        <w:rPr>
          <w:rFonts w:eastAsia="Aptos"/>
          <w:noProof w:val="0"/>
        </w:rPr>
      </w:pPr>
      <w:r w:rsidRPr="008A5009">
        <w:rPr>
          <w:rFonts w:eastAsia="Aptos"/>
          <w:b/>
          <w:bCs/>
          <w:noProof w:val="0"/>
        </w:rPr>
        <w:t>Embed Universal Design for Learning</w:t>
      </w:r>
      <w:r w:rsidRPr="008A5009">
        <w:rPr>
          <w:rFonts w:eastAsia="Aptos"/>
          <w:noProof w:val="0"/>
        </w:rPr>
        <w:t xml:space="preserve"> (UDL) principles as a baseline requirement across all accredited courses</w:t>
      </w:r>
      <w:r w:rsidR="006E1519">
        <w:rPr>
          <w:rFonts w:eastAsia="Aptos"/>
          <w:noProof w:val="0"/>
        </w:rPr>
        <w:t>.</w:t>
      </w:r>
    </w:p>
    <w:p w14:paraId="537DCBED" w14:textId="1BDF6712" w:rsidR="00D31FD3" w:rsidRDefault="417A9AA5" w:rsidP="00420B77">
      <w:pPr>
        <w:pStyle w:val="CYDABodybullets"/>
        <w:spacing w:after="0" w:line="276" w:lineRule="auto"/>
        <w:rPr>
          <w:rFonts w:eastAsia="Aptos"/>
          <w:noProof w:val="0"/>
        </w:rPr>
      </w:pPr>
      <w:r w:rsidRPr="008A5009">
        <w:rPr>
          <w:rFonts w:eastAsia="Aptos"/>
          <w:b/>
          <w:bCs/>
          <w:noProof w:val="0"/>
        </w:rPr>
        <w:t>Grant TEQSA authority</w:t>
      </w:r>
      <w:r w:rsidRPr="008A5009">
        <w:rPr>
          <w:rFonts w:eastAsia="Aptos"/>
          <w:noProof w:val="0"/>
        </w:rPr>
        <w:t xml:space="preserve"> to pause or withhold course accreditation where professional body requirements or engagement with university staff result in exclusionary pathways for students with disability</w:t>
      </w:r>
      <w:r w:rsidR="006E1519">
        <w:rPr>
          <w:rFonts w:eastAsia="Aptos"/>
          <w:noProof w:val="0"/>
        </w:rPr>
        <w:t>.</w:t>
      </w:r>
    </w:p>
    <w:p w14:paraId="18FF342B" w14:textId="77777777" w:rsidR="008A35E5" w:rsidRPr="008A35E5" w:rsidRDefault="008A35E5" w:rsidP="00420B77">
      <w:pPr>
        <w:pStyle w:val="CYDABodybullets"/>
        <w:numPr>
          <w:ilvl w:val="0"/>
          <w:numId w:val="0"/>
        </w:numPr>
        <w:spacing w:after="0" w:line="276" w:lineRule="auto"/>
        <w:ind w:left="709"/>
        <w:rPr>
          <w:rFonts w:eastAsia="Aptos"/>
          <w:noProof w:val="0"/>
        </w:rPr>
      </w:pPr>
    </w:p>
    <w:p w14:paraId="61AAE98A" w14:textId="24097571" w:rsidR="00A44388" w:rsidRPr="008A5009" w:rsidRDefault="417A9AA5" w:rsidP="00420B77">
      <w:pPr>
        <w:pStyle w:val="CYDABodybullets"/>
        <w:numPr>
          <w:ilvl w:val="0"/>
          <w:numId w:val="0"/>
        </w:numPr>
        <w:spacing w:line="276" w:lineRule="auto"/>
        <w:rPr>
          <w:rFonts w:eastAsia="Aptos"/>
          <w:b/>
          <w:bCs/>
          <w:noProof w:val="0"/>
        </w:rPr>
      </w:pPr>
      <w:r w:rsidRPr="008A5009">
        <w:rPr>
          <w:rFonts w:eastAsia="Aptos"/>
          <w:b/>
          <w:bCs/>
          <w:noProof w:val="0"/>
        </w:rPr>
        <w:t xml:space="preserve">Recommendation 3: Elevate </w:t>
      </w:r>
      <w:r w:rsidR="00912DC9">
        <w:rPr>
          <w:rFonts w:eastAsia="Aptos"/>
          <w:b/>
          <w:bCs/>
          <w:noProof w:val="0"/>
        </w:rPr>
        <w:t>c</w:t>
      </w:r>
      <w:r w:rsidRPr="008A5009">
        <w:rPr>
          <w:rFonts w:eastAsia="Aptos"/>
          <w:b/>
          <w:bCs/>
          <w:noProof w:val="0"/>
        </w:rPr>
        <w:t xml:space="preserve">urriculum </w:t>
      </w:r>
      <w:r w:rsidR="00912DC9">
        <w:rPr>
          <w:rFonts w:eastAsia="Aptos"/>
          <w:b/>
          <w:bCs/>
          <w:noProof w:val="0"/>
        </w:rPr>
        <w:t>s</w:t>
      </w:r>
      <w:r w:rsidRPr="008A5009">
        <w:rPr>
          <w:rFonts w:eastAsia="Aptos"/>
          <w:b/>
          <w:bCs/>
          <w:noProof w:val="0"/>
        </w:rPr>
        <w:t xml:space="preserve">tandards in </w:t>
      </w:r>
      <w:r w:rsidR="00912DC9">
        <w:rPr>
          <w:rFonts w:eastAsia="Aptos"/>
          <w:b/>
          <w:bCs/>
          <w:noProof w:val="0"/>
        </w:rPr>
        <w:t>h</w:t>
      </w:r>
      <w:r w:rsidRPr="008A5009">
        <w:rPr>
          <w:rFonts w:eastAsia="Aptos"/>
          <w:b/>
          <w:bCs/>
          <w:noProof w:val="0"/>
        </w:rPr>
        <w:t>igh-</w:t>
      </w:r>
      <w:r w:rsidR="00912DC9">
        <w:rPr>
          <w:rFonts w:eastAsia="Aptos"/>
          <w:b/>
          <w:bCs/>
          <w:noProof w:val="0"/>
        </w:rPr>
        <w:t>i</w:t>
      </w:r>
      <w:r w:rsidRPr="008A5009">
        <w:rPr>
          <w:rFonts w:eastAsia="Aptos"/>
          <w:b/>
          <w:bCs/>
          <w:noProof w:val="0"/>
        </w:rPr>
        <w:t xml:space="preserve">mpact </w:t>
      </w:r>
      <w:r w:rsidR="00912DC9">
        <w:rPr>
          <w:rFonts w:eastAsia="Aptos"/>
          <w:b/>
          <w:bCs/>
          <w:noProof w:val="0"/>
        </w:rPr>
        <w:t>p</w:t>
      </w:r>
      <w:r w:rsidRPr="008A5009">
        <w:rPr>
          <w:rFonts w:eastAsia="Aptos"/>
          <w:b/>
          <w:bCs/>
          <w:noProof w:val="0"/>
        </w:rPr>
        <w:t xml:space="preserve">rograms </w:t>
      </w:r>
    </w:p>
    <w:p w14:paraId="5DF6ECD0" w14:textId="58AF8615" w:rsidR="00A44388" w:rsidRPr="008A5009" w:rsidRDefault="417A9AA5" w:rsidP="00420B77">
      <w:pPr>
        <w:pStyle w:val="CYDABodybullets"/>
        <w:spacing w:after="0" w:line="276" w:lineRule="auto"/>
        <w:rPr>
          <w:rFonts w:eastAsia="Aptos"/>
          <w:noProof w:val="0"/>
        </w:rPr>
      </w:pPr>
      <w:r w:rsidRPr="008A5009">
        <w:rPr>
          <w:rFonts w:eastAsia="Aptos"/>
          <w:b/>
          <w:bCs/>
          <w:noProof w:val="0"/>
        </w:rPr>
        <w:t>Mandate minimum requirements</w:t>
      </w:r>
      <w:r w:rsidRPr="008A5009">
        <w:rPr>
          <w:rFonts w:eastAsia="Aptos"/>
          <w:noProof w:val="0"/>
        </w:rPr>
        <w:t xml:space="preserve"> for disability-related content across programs</w:t>
      </w:r>
      <w:r w:rsidR="00DB4F9C">
        <w:rPr>
          <w:rFonts w:eastAsia="Aptos"/>
          <w:noProof w:val="0"/>
        </w:rPr>
        <w:t xml:space="preserve"> including, but not limited to</w:t>
      </w:r>
      <w:r w:rsidRPr="008A5009">
        <w:rPr>
          <w:rFonts w:eastAsia="Aptos"/>
          <w:noProof w:val="0"/>
        </w:rPr>
        <w:t xml:space="preserve"> Teaching, Medicine, and Social Work</w:t>
      </w:r>
      <w:r w:rsidR="006E1519">
        <w:rPr>
          <w:rFonts w:eastAsia="Aptos"/>
          <w:noProof w:val="0"/>
        </w:rPr>
        <w:t>.</w:t>
      </w:r>
    </w:p>
    <w:p w14:paraId="730C9D4B" w14:textId="5DE0000C" w:rsidR="00A44388" w:rsidRPr="008A5009" w:rsidRDefault="417A9AA5" w:rsidP="00420B77">
      <w:pPr>
        <w:pStyle w:val="CYDABodybullets"/>
        <w:spacing w:after="0" w:line="276" w:lineRule="auto"/>
        <w:rPr>
          <w:rFonts w:eastAsia="Aptos"/>
          <w:noProof w:val="0"/>
        </w:rPr>
      </w:pPr>
      <w:r w:rsidRPr="008A5009">
        <w:rPr>
          <w:rFonts w:eastAsia="Aptos"/>
          <w:b/>
          <w:bCs/>
          <w:noProof w:val="0"/>
        </w:rPr>
        <w:t>Develop a more capable and responsive workforce</w:t>
      </w:r>
      <w:r w:rsidRPr="008A5009">
        <w:rPr>
          <w:rFonts w:eastAsia="Aptos"/>
          <w:noProof w:val="0"/>
        </w:rPr>
        <w:t xml:space="preserve"> by producing graduates with practical expertise in disability inclusion, awareness and rights.</w:t>
      </w:r>
    </w:p>
    <w:p w14:paraId="662177B1" w14:textId="32D5561C" w:rsidR="00A44388" w:rsidRPr="008A5009" w:rsidRDefault="417A9AA5" w:rsidP="00420B77">
      <w:pPr>
        <w:pStyle w:val="CYDABodybullets"/>
        <w:spacing w:after="0" w:line="276" w:lineRule="auto"/>
        <w:rPr>
          <w:rFonts w:eastAsia="Aptos"/>
          <w:noProof w:val="0"/>
        </w:rPr>
      </w:pPr>
      <w:r w:rsidRPr="008A5009">
        <w:rPr>
          <w:rFonts w:eastAsia="Aptos"/>
          <w:b/>
          <w:bCs/>
          <w:noProof w:val="0"/>
        </w:rPr>
        <w:t xml:space="preserve">Standardise </w:t>
      </w:r>
      <w:r w:rsidR="000A0ACC">
        <w:rPr>
          <w:rFonts w:eastAsia="Aptos"/>
          <w:b/>
          <w:bCs/>
          <w:noProof w:val="0"/>
        </w:rPr>
        <w:t>p</w:t>
      </w:r>
      <w:r w:rsidRPr="008A5009">
        <w:rPr>
          <w:rFonts w:eastAsia="Aptos"/>
          <w:b/>
          <w:bCs/>
          <w:noProof w:val="0"/>
        </w:rPr>
        <w:t xml:space="preserve">ublic </w:t>
      </w:r>
      <w:r w:rsidR="00E379B2">
        <w:rPr>
          <w:rFonts w:eastAsia="Aptos"/>
          <w:b/>
          <w:bCs/>
          <w:noProof w:val="0"/>
        </w:rPr>
        <w:t>d</w:t>
      </w:r>
      <w:r w:rsidRPr="008A5009">
        <w:rPr>
          <w:rFonts w:eastAsia="Aptos"/>
          <w:b/>
          <w:bCs/>
          <w:noProof w:val="0"/>
        </w:rPr>
        <w:t>isclosure</w:t>
      </w:r>
      <w:r w:rsidRPr="008A5009">
        <w:rPr>
          <w:rFonts w:eastAsia="Aptos"/>
          <w:noProof w:val="0"/>
        </w:rPr>
        <w:t xml:space="preserve"> of information of student outcomes from these courses to support assessment and effectiveness of the investment into disability inclusion and awareness education in these fields.</w:t>
      </w:r>
    </w:p>
    <w:p w14:paraId="5CC5835D" w14:textId="77777777" w:rsidR="00D31FD3" w:rsidRPr="008A5009" w:rsidRDefault="00D31FD3" w:rsidP="00420B77">
      <w:pPr>
        <w:pStyle w:val="CYDABodybullets"/>
        <w:numPr>
          <w:ilvl w:val="0"/>
          <w:numId w:val="0"/>
        </w:numPr>
        <w:spacing w:line="276" w:lineRule="auto"/>
        <w:rPr>
          <w:rFonts w:eastAsia="Aptos"/>
          <w:b/>
          <w:bCs/>
          <w:noProof w:val="0"/>
        </w:rPr>
      </w:pPr>
    </w:p>
    <w:p w14:paraId="1A64DA68" w14:textId="42BD5BF4" w:rsidR="00A44388" w:rsidRPr="008A5009" w:rsidRDefault="417A9AA5" w:rsidP="00420B77">
      <w:pPr>
        <w:pStyle w:val="CYDABodybullets"/>
        <w:numPr>
          <w:ilvl w:val="0"/>
          <w:numId w:val="0"/>
        </w:numPr>
        <w:spacing w:line="276" w:lineRule="auto"/>
        <w:rPr>
          <w:rFonts w:eastAsia="Aptos"/>
          <w:b/>
          <w:bCs/>
          <w:noProof w:val="0"/>
        </w:rPr>
      </w:pPr>
      <w:r w:rsidRPr="008A5009">
        <w:rPr>
          <w:rFonts w:eastAsia="Aptos"/>
          <w:b/>
          <w:bCs/>
          <w:noProof w:val="0"/>
        </w:rPr>
        <w:t xml:space="preserve">Recommendation 4: Drive a </w:t>
      </w:r>
      <w:r w:rsidR="00912DC9">
        <w:rPr>
          <w:rFonts w:eastAsia="Aptos"/>
          <w:b/>
          <w:bCs/>
          <w:noProof w:val="0"/>
        </w:rPr>
        <w:t>j</w:t>
      </w:r>
      <w:r w:rsidRPr="008A5009">
        <w:rPr>
          <w:rFonts w:eastAsia="Aptos"/>
          <w:b/>
          <w:bCs/>
          <w:noProof w:val="0"/>
        </w:rPr>
        <w:t>oined-</w:t>
      </w:r>
      <w:r w:rsidR="00912DC9">
        <w:rPr>
          <w:rFonts w:eastAsia="Aptos"/>
          <w:b/>
          <w:bCs/>
          <w:noProof w:val="0"/>
        </w:rPr>
        <w:t>u</w:t>
      </w:r>
      <w:r w:rsidRPr="008A5009">
        <w:rPr>
          <w:rFonts w:eastAsia="Aptos"/>
          <w:b/>
          <w:bCs/>
          <w:noProof w:val="0"/>
        </w:rPr>
        <w:t xml:space="preserve">p </w:t>
      </w:r>
      <w:r w:rsidR="00912DC9">
        <w:rPr>
          <w:rFonts w:eastAsia="Aptos"/>
          <w:b/>
          <w:bCs/>
          <w:noProof w:val="0"/>
        </w:rPr>
        <w:t>s</w:t>
      </w:r>
      <w:r w:rsidRPr="008A5009">
        <w:rPr>
          <w:rFonts w:eastAsia="Aptos"/>
          <w:b/>
          <w:bCs/>
          <w:noProof w:val="0"/>
        </w:rPr>
        <w:t xml:space="preserve">ystems </w:t>
      </w:r>
      <w:r w:rsidR="00912DC9">
        <w:rPr>
          <w:rFonts w:eastAsia="Aptos"/>
          <w:b/>
          <w:bCs/>
          <w:noProof w:val="0"/>
        </w:rPr>
        <w:t>a</w:t>
      </w:r>
      <w:r w:rsidRPr="008A5009">
        <w:rPr>
          <w:rFonts w:eastAsia="Aptos"/>
          <w:b/>
          <w:bCs/>
          <w:noProof w:val="0"/>
        </w:rPr>
        <w:t xml:space="preserve">pproach across </w:t>
      </w:r>
      <w:r w:rsidR="00912DC9">
        <w:rPr>
          <w:rFonts w:eastAsia="Aptos"/>
          <w:b/>
          <w:bCs/>
          <w:noProof w:val="0"/>
        </w:rPr>
        <w:t>e</w:t>
      </w:r>
      <w:r w:rsidRPr="008A5009">
        <w:rPr>
          <w:rFonts w:eastAsia="Aptos"/>
          <w:b/>
          <w:bCs/>
          <w:noProof w:val="0"/>
        </w:rPr>
        <w:t xml:space="preserve">ducation </w:t>
      </w:r>
      <w:r w:rsidR="00912DC9">
        <w:rPr>
          <w:rFonts w:eastAsia="Aptos"/>
          <w:b/>
          <w:bCs/>
          <w:noProof w:val="0"/>
        </w:rPr>
        <w:t>p</w:t>
      </w:r>
      <w:r w:rsidRPr="008A5009">
        <w:rPr>
          <w:rFonts w:eastAsia="Aptos"/>
          <w:b/>
          <w:bCs/>
          <w:noProof w:val="0"/>
        </w:rPr>
        <w:t>athways</w:t>
      </w:r>
    </w:p>
    <w:p w14:paraId="1E95918F" w14:textId="7FF9F381" w:rsidR="00A44388" w:rsidRPr="008A5009" w:rsidRDefault="417A9AA5" w:rsidP="00420B77">
      <w:pPr>
        <w:pStyle w:val="CYDABodybullets"/>
        <w:spacing w:after="0" w:line="276" w:lineRule="auto"/>
        <w:rPr>
          <w:rFonts w:eastAsia="Aptos"/>
          <w:noProof w:val="0"/>
        </w:rPr>
      </w:pPr>
      <w:r w:rsidRPr="008A5009">
        <w:rPr>
          <w:rFonts w:eastAsia="Aptos"/>
          <w:b/>
          <w:bCs/>
          <w:noProof w:val="0"/>
        </w:rPr>
        <w:t>Align standards and oversight</w:t>
      </w:r>
      <w:r w:rsidRPr="008A5009">
        <w:rPr>
          <w:rFonts w:eastAsia="Aptos"/>
          <w:noProof w:val="0"/>
        </w:rPr>
        <w:t xml:space="preserve"> across the VET and higher education sectors.</w:t>
      </w:r>
    </w:p>
    <w:p w14:paraId="7759F020" w14:textId="29F4AE28" w:rsidR="00D31FD3" w:rsidRPr="008A5009" w:rsidRDefault="417A9AA5" w:rsidP="00420B77">
      <w:pPr>
        <w:pStyle w:val="CYDABodybullets"/>
        <w:spacing w:after="0" w:line="276" w:lineRule="auto"/>
        <w:rPr>
          <w:rFonts w:eastAsia="Aptos"/>
          <w:noProof w:val="0"/>
        </w:rPr>
      </w:pPr>
      <w:r w:rsidRPr="008A5009">
        <w:rPr>
          <w:rFonts w:eastAsia="Aptos"/>
          <w:b/>
          <w:bCs/>
          <w:noProof w:val="0"/>
        </w:rPr>
        <w:t>Strengthen pathways</w:t>
      </w:r>
      <w:r w:rsidRPr="008A5009">
        <w:rPr>
          <w:rFonts w:eastAsia="Aptos"/>
          <w:noProof w:val="0"/>
        </w:rPr>
        <w:t xml:space="preserve"> that promote progression and lifelong learning opportunities for students with disability</w:t>
      </w:r>
      <w:bookmarkStart w:id="1" w:name="_Toc118886980"/>
      <w:r w:rsidR="006E1519">
        <w:rPr>
          <w:rFonts w:eastAsia="Aptos"/>
          <w:noProof w:val="0"/>
        </w:rPr>
        <w:t>.</w:t>
      </w:r>
    </w:p>
    <w:p w14:paraId="721D60FA" w14:textId="77777777" w:rsidR="008A5009" w:rsidRDefault="008A5009" w:rsidP="00420B77">
      <w:pPr>
        <w:spacing w:line="276" w:lineRule="auto"/>
        <w:rPr>
          <w:rFonts w:ascii="Arial" w:hAnsi="Arial" w:cs="Arial"/>
          <w:b/>
          <w:bCs/>
          <w:noProof/>
          <w:color w:val="00663D" w:themeColor="accent6"/>
          <w:sz w:val="44"/>
          <w:szCs w:val="44"/>
        </w:rPr>
      </w:pPr>
      <w:r>
        <w:br w:type="page"/>
      </w:r>
    </w:p>
    <w:p w14:paraId="6A952CDD" w14:textId="373B1EE7" w:rsidR="00220F62" w:rsidRPr="008A5009" w:rsidRDefault="00220F62" w:rsidP="00D31FD3">
      <w:pPr>
        <w:pStyle w:val="Heading1"/>
        <w:rPr>
          <w:rFonts w:eastAsia="Aptos"/>
          <w:noProof w:val="0"/>
        </w:rPr>
      </w:pPr>
      <w:bookmarkStart w:id="2" w:name="_Toc211524719"/>
      <w:r w:rsidRPr="008A5009">
        <w:lastRenderedPageBreak/>
        <w:t>Introduction</w:t>
      </w:r>
      <w:bookmarkEnd w:id="1"/>
      <w:bookmarkEnd w:id="2"/>
    </w:p>
    <w:p w14:paraId="25E4E3CD" w14:textId="2E42EC76" w:rsidR="00300E1D" w:rsidRPr="008A5009" w:rsidRDefault="00300E1D" w:rsidP="00420B77">
      <w:pPr>
        <w:spacing w:after="160" w:line="276" w:lineRule="auto"/>
        <w:rPr>
          <w:rFonts w:ascii="Arial" w:hAnsi="Arial" w:cs="Arial"/>
        </w:rPr>
      </w:pPr>
      <w:r w:rsidRPr="008A5009">
        <w:rPr>
          <w:rFonts w:ascii="Arial" w:eastAsia="Aptos" w:hAnsi="Arial" w:cs="Arial"/>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r w:rsidR="0A598AB6" w:rsidRPr="008A5009">
        <w:rPr>
          <w:rFonts w:ascii="Arial" w:eastAsia="Aptos" w:hAnsi="Arial" w:cs="Arial"/>
        </w:rPr>
        <w:t xml:space="preserve"> </w:t>
      </w:r>
    </w:p>
    <w:p w14:paraId="09F0A89E" w14:textId="7BF996F5" w:rsidR="00300E1D" w:rsidRPr="008A5009" w:rsidRDefault="00300E1D" w:rsidP="00420B77">
      <w:pPr>
        <w:spacing w:after="160" w:line="276" w:lineRule="auto"/>
        <w:rPr>
          <w:rFonts w:ascii="Arial" w:hAnsi="Arial" w:cs="Arial"/>
        </w:rPr>
      </w:pPr>
      <w:r w:rsidRPr="008A5009">
        <w:rPr>
          <w:rFonts w:ascii="Arial" w:eastAsia="Aptos" w:hAnsi="Arial" w:cs="Arial"/>
        </w:rPr>
        <w:t xml:space="preserve">Our vision is that children and young people with disability in Australia will fully exercise their rights, realise their aspirations and thrive in all communities. </w:t>
      </w:r>
      <w:r w:rsidR="0A598AB6" w:rsidRPr="008A5009">
        <w:rPr>
          <w:rFonts w:ascii="Arial" w:eastAsia="Aptos" w:hAnsi="Arial" w:cs="Arial"/>
        </w:rPr>
        <w:t xml:space="preserve">We do this by: </w:t>
      </w:r>
      <w:r w:rsidRPr="008A5009">
        <w:rPr>
          <w:rFonts w:ascii="Arial" w:eastAsia="Aptos" w:hAnsi="Arial" w:cs="Arial"/>
        </w:rPr>
        <w:t xml:space="preserve">  </w:t>
      </w:r>
    </w:p>
    <w:p w14:paraId="667C9BE3" w14:textId="3677C28F" w:rsidR="0A598AB6" w:rsidRPr="008A5009" w:rsidRDefault="0A598AB6" w:rsidP="00420B77">
      <w:pPr>
        <w:pStyle w:val="ListParagraph"/>
        <w:numPr>
          <w:ilvl w:val="0"/>
          <w:numId w:val="16"/>
        </w:numPr>
        <w:spacing w:line="276" w:lineRule="auto"/>
        <w:rPr>
          <w:rFonts w:ascii="Arial" w:eastAsia="Aptos" w:hAnsi="Arial" w:cs="Arial"/>
        </w:rPr>
      </w:pPr>
      <w:r w:rsidRPr="008A5009">
        <w:rPr>
          <w:rFonts w:ascii="Arial" w:eastAsia="Aptos" w:hAnsi="Arial" w:cs="Arial"/>
        </w:rPr>
        <w:t xml:space="preserve">Raising community attitudes and expectations </w:t>
      </w:r>
    </w:p>
    <w:p w14:paraId="4CC18CE2" w14:textId="361DDB26" w:rsidR="0A598AB6" w:rsidRPr="008A5009" w:rsidRDefault="0A598AB6" w:rsidP="00420B77">
      <w:pPr>
        <w:pStyle w:val="ListParagraph"/>
        <w:numPr>
          <w:ilvl w:val="0"/>
          <w:numId w:val="15"/>
        </w:numPr>
        <w:spacing w:line="276" w:lineRule="auto"/>
        <w:rPr>
          <w:rFonts w:ascii="Arial" w:eastAsia="Aptos" w:hAnsi="Arial" w:cs="Arial"/>
        </w:rPr>
      </w:pPr>
      <w:r w:rsidRPr="008A5009">
        <w:rPr>
          <w:rFonts w:ascii="Arial" w:eastAsia="Aptos" w:hAnsi="Arial" w:cs="Arial"/>
        </w:rPr>
        <w:t xml:space="preserve">Championing initiatives that promote the best start in the early years for children with disability, and their families and caregivers </w:t>
      </w:r>
    </w:p>
    <w:p w14:paraId="41E35207" w14:textId="6F131E37" w:rsidR="0A598AB6" w:rsidRPr="008A5009" w:rsidRDefault="0A598AB6" w:rsidP="00420B77">
      <w:pPr>
        <w:pStyle w:val="ListParagraph"/>
        <w:numPr>
          <w:ilvl w:val="0"/>
          <w:numId w:val="14"/>
        </w:numPr>
        <w:spacing w:line="276" w:lineRule="auto"/>
        <w:rPr>
          <w:rFonts w:ascii="Arial" w:eastAsia="Aptos" w:hAnsi="Arial" w:cs="Arial"/>
        </w:rPr>
      </w:pPr>
      <w:r w:rsidRPr="008A5009">
        <w:rPr>
          <w:rFonts w:ascii="Arial" w:eastAsia="Aptos" w:hAnsi="Arial" w:cs="Arial"/>
        </w:rPr>
        <w:t xml:space="preserve">Leading social change to transform education systems to be inclusive at all points across life stages </w:t>
      </w:r>
    </w:p>
    <w:p w14:paraId="472C5BDD" w14:textId="5E36E2E2" w:rsidR="0A598AB6" w:rsidRPr="008A5009" w:rsidRDefault="0A598AB6" w:rsidP="00420B77">
      <w:pPr>
        <w:pStyle w:val="ListParagraph"/>
        <w:numPr>
          <w:ilvl w:val="0"/>
          <w:numId w:val="13"/>
        </w:numPr>
        <w:spacing w:line="276" w:lineRule="auto"/>
        <w:rPr>
          <w:rFonts w:ascii="Arial" w:eastAsia="Aptos" w:hAnsi="Arial" w:cs="Arial"/>
        </w:rPr>
      </w:pPr>
      <w:r w:rsidRPr="008A5009">
        <w:rPr>
          <w:rFonts w:ascii="Arial" w:eastAsia="Aptos" w:hAnsi="Arial" w:cs="Arial"/>
        </w:rPr>
        <w:t xml:space="preserve">Advocating for systems that facilitate successful life transitions to adulthood </w:t>
      </w:r>
    </w:p>
    <w:p w14:paraId="3F91111B" w14:textId="2C153803" w:rsidR="0A598AB6" w:rsidRDefault="0A598AB6" w:rsidP="00B03E8D">
      <w:pPr>
        <w:pStyle w:val="ListParagraph"/>
        <w:numPr>
          <w:ilvl w:val="0"/>
          <w:numId w:val="12"/>
        </w:numPr>
        <w:spacing w:line="276" w:lineRule="auto"/>
        <w:rPr>
          <w:rFonts w:ascii="Arial" w:eastAsia="Aptos" w:hAnsi="Arial" w:cs="Arial"/>
        </w:rPr>
      </w:pPr>
      <w:r w:rsidRPr="008A5009">
        <w:rPr>
          <w:rFonts w:ascii="Arial" w:eastAsia="Aptos" w:hAnsi="Arial" w:cs="Arial"/>
        </w:rPr>
        <w:t xml:space="preserve">Leading innovative initiatives to ensure the sustainability and impact of the organisation and the broader sector </w:t>
      </w:r>
    </w:p>
    <w:p w14:paraId="0758900C" w14:textId="77777777" w:rsidR="000B5011" w:rsidRPr="008A5009" w:rsidRDefault="000B5011" w:rsidP="00420B77">
      <w:pPr>
        <w:pStyle w:val="ListParagraph"/>
        <w:spacing w:line="276" w:lineRule="auto"/>
        <w:rPr>
          <w:rFonts w:ascii="Arial" w:eastAsia="Aptos" w:hAnsi="Arial" w:cs="Arial"/>
        </w:rPr>
      </w:pPr>
    </w:p>
    <w:p w14:paraId="3D1111E7" w14:textId="19E08DEA" w:rsidR="00050464" w:rsidRDefault="00220F62" w:rsidP="00420B77">
      <w:pPr>
        <w:spacing w:after="160" w:line="276" w:lineRule="auto"/>
        <w:rPr>
          <w:rFonts w:ascii="Arial" w:eastAsia="Aptos" w:hAnsi="Arial" w:cs="Arial"/>
        </w:rPr>
      </w:pPr>
      <w:r w:rsidRPr="008A5009">
        <w:rPr>
          <w:rFonts w:ascii="Arial" w:eastAsia="Aptos" w:hAnsi="Arial" w:cs="Arial"/>
        </w:rPr>
        <w:t>CYDA welcomes the opportunity to contribute</w:t>
      </w:r>
      <w:r w:rsidR="0069276C" w:rsidRPr="008A5009">
        <w:rPr>
          <w:rFonts w:ascii="Arial" w:eastAsia="Aptos" w:hAnsi="Arial" w:cs="Arial"/>
        </w:rPr>
        <w:t xml:space="preserve"> </w:t>
      </w:r>
      <w:r w:rsidRPr="008A5009">
        <w:rPr>
          <w:rFonts w:ascii="Arial" w:eastAsia="Aptos" w:hAnsi="Arial" w:cs="Arial"/>
        </w:rPr>
        <w:t>to</w:t>
      </w:r>
      <w:r w:rsidR="0069276C" w:rsidRPr="008A5009">
        <w:rPr>
          <w:rFonts w:ascii="Arial" w:eastAsia="Aptos" w:hAnsi="Arial" w:cs="Arial"/>
        </w:rPr>
        <w:t xml:space="preserve"> the</w:t>
      </w:r>
      <w:r w:rsidRPr="008A5009">
        <w:rPr>
          <w:rFonts w:ascii="Arial" w:eastAsia="Aptos" w:hAnsi="Arial" w:cs="Arial"/>
        </w:rPr>
        <w:t xml:space="preserve"> </w:t>
      </w:r>
      <w:r w:rsidR="0069276C" w:rsidRPr="008A5009">
        <w:rPr>
          <w:rFonts w:ascii="Arial" w:eastAsia="Aptos" w:hAnsi="Arial" w:cs="Arial"/>
          <w:i/>
        </w:rPr>
        <w:t xml:space="preserve">Modernising and Strengthening TEQSA’s powers </w:t>
      </w:r>
      <w:r w:rsidR="0069276C" w:rsidRPr="008A5009">
        <w:rPr>
          <w:rFonts w:ascii="Arial" w:eastAsia="Aptos" w:hAnsi="Arial" w:cs="Arial"/>
        </w:rPr>
        <w:t xml:space="preserve">consultation. </w:t>
      </w:r>
      <w:r w:rsidR="0A598AB6" w:rsidRPr="008A5009">
        <w:rPr>
          <w:rFonts w:ascii="Arial" w:eastAsia="Aptos" w:hAnsi="Arial" w:cs="Arial"/>
        </w:rPr>
        <w:t xml:space="preserve"> </w:t>
      </w:r>
    </w:p>
    <w:p w14:paraId="58545E87" w14:textId="2E1A2BDA" w:rsidR="0017430D" w:rsidRPr="008A5009" w:rsidRDefault="00220F62" w:rsidP="00420B77">
      <w:pPr>
        <w:spacing w:after="160" w:line="276" w:lineRule="auto"/>
        <w:rPr>
          <w:rFonts w:ascii="Arial" w:hAnsi="Arial" w:cs="Arial"/>
        </w:rPr>
      </w:pPr>
      <w:r w:rsidRPr="008A5009">
        <w:rPr>
          <w:rFonts w:ascii="Arial" w:eastAsia="Aptos" w:hAnsi="Arial" w:cs="Arial"/>
        </w:rPr>
        <w:t xml:space="preserve">This </w:t>
      </w:r>
      <w:r w:rsidR="0017430D" w:rsidRPr="008A5009">
        <w:rPr>
          <w:rFonts w:ascii="Arial" w:eastAsia="Aptos" w:hAnsi="Arial" w:cs="Arial"/>
        </w:rPr>
        <w:t>submission builds</w:t>
      </w:r>
      <w:r w:rsidRPr="008A5009">
        <w:rPr>
          <w:rFonts w:ascii="Arial" w:eastAsia="Aptos" w:hAnsi="Arial" w:cs="Arial"/>
        </w:rPr>
        <w:t xml:space="preserve"> on our previous </w:t>
      </w:r>
      <w:r w:rsidR="0002157D" w:rsidRPr="008A5009">
        <w:rPr>
          <w:rFonts w:ascii="Arial" w:eastAsia="Aptos" w:hAnsi="Arial" w:cs="Arial"/>
        </w:rPr>
        <w:t>work</w:t>
      </w:r>
      <w:r w:rsidR="007646C9" w:rsidRPr="008A5009">
        <w:rPr>
          <w:rFonts w:ascii="Arial" w:eastAsia="Aptos" w:hAnsi="Arial" w:cs="Arial"/>
        </w:rPr>
        <w:t>,</w:t>
      </w:r>
      <w:r w:rsidR="0002157D" w:rsidRPr="008A5009">
        <w:rPr>
          <w:rFonts w:ascii="Arial" w:eastAsia="Aptos" w:hAnsi="Arial" w:cs="Arial"/>
        </w:rPr>
        <w:t xml:space="preserve"> </w:t>
      </w:r>
      <w:r w:rsidRPr="008A5009">
        <w:rPr>
          <w:rFonts w:ascii="Arial" w:eastAsia="Aptos" w:hAnsi="Arial" w:cs="Arial"/>
        </w:rPr>
        <w:t>highlight</w:t>
      </w:r>
      <w:r w:rsidR="0002157D" w:rsidRPr="008A5009">
        <w:rPr>
          <w:rFonts w:ascii="Arial" w:eastAsia="Aptos" w:hAnsi="Arial" w:cs="Arial"/>
        </w:rPr>
        <w:t xml:space="preserve">ing </w:t>
      </w:r>
      <w:r w:rsidR="0017430D" w:rsidRPr="008A5009">
        <w:rPr>
          <w:rFonts w:ascii="Arial" w:eastAsia="Aptos" w:hAnsi="Arial" w:cs="Arial"/>
        </w:rPr>
        <w:t xml:space="preserve">the ongoing need for </w:t>
      </w:r>
      <w:r w:rsidR="00FB7494" w:rsidRPr="008A5009">
        <w:rPr>
          <w:rFonts w:ascii="Arial" w:eastAsia="Aptos" w:hAnsi="Arial" w:cs="Arial"/>
        </w:rPr>
        <w:t>h</w:t>
      </w:r>
      <w:r w:rsidR="0017430D" w:rsidRPr="008A5009">
        <w:rPr>
          <w:rFonts w:ascii="Arial" w:eastAsia="Aptos" w:hAnsi="Arial" w:cs="Arial"/>
        </w:rPr>
        <w:t>igher education providers, and the associated regulatory bodies to address both immediate needs and invest in long-term capacity building to ensure universities adequately include students with disability and raise achievement and completion levels.</w:t>
      </w:r>
      <w:r w:rsidR="0A598AB6" w:rsidRPr="008A5009">
        <w:rPr>
          <w:rFonts w:ascii="Arial" w:eastAsia="Arial" w:hAnsi="Arial" w:cs="Arial"/>
        </w:rPr>
        <w:t>  </w:t>
      </w:r>
      <w:r w:rsidR="0A598AB6" w:rsidRPr="008A5009">
        <w:rPr>
          <w:rFonts w:ascii="Arial" w:eastAsia="Aptos" w:hAnsi="Arial" w:cs="Arial"/>
        </w:rPr>
        <w:t xml:space="preserve"> </w:t>
      </w:r>
    </w:p>
    <w:p w14:paraId="5CEC9DF1" w14:textId="4257CD5F" w:rsidR="0A598AB6" w:rsidRPr="008A5009" w:rsidRDefault="0A598AB6" w:rsidP="00420B77">
      <w:pPr>
        <w:spacing w:after="160" w:line="276" w:lineRule="auto"/>
        <w:rPr>
          <w:rFonts w:ascii="Arial" w:hAnsi="Arial" w:cs="Arial"/>
        </w:rPr>
      </w:pPr>
      <w:hyperlink>
        <w:r w:rsidRPr="008A5009">
          <w:rPr>
            <w:rStyle w:val="Hyperlink"/>
            <w:rFonts w:ascii="Arial" w:eastAsia="Aptos" w:hAnsi="Arial" w:cs="Arial"/>
            <w:color w:val="467886"/>
          </w:rPr>
          <w:t>Media Release – Universities Accord</w:t>
        </w:r>
      </w:hyperlink>
      <w:r w:rsidRPr="008A5009">
        <w:rPr>
          <w:rFonts w:ascii="Arial" w:eastAsia="Aptos" w:hAnsi="Arial" w:cs="Arial"/>
        </w:rPr>
        <w:t xml:space="preserve"> </w:t>
      </w:r>
    </w:p>
    <w:p w14:paraId="2D7E5891" w14:textId="12E3EDDC" w:rsidR="0A598AB6" w:rsidRPr="008A5009" w:rsidRDefault="0A598AB6" w:rsidP="00420B77">
      <w:pPr>
        <w:spacing w:after="160" w:line="276" w:lineRule="auto"/>
        <w:rPr>
          <w:rFonts w:ascii="Arial" w:hAnsi="Arial" w:cs="Arial"/>
        </w:rPr>
      </w:pPr>
      <w:hyperlink r:id="rId22">
        <w:r w:rsidRPr="008A5009">
          <w:rPr>
            <w:rStyle w:val="Hyperlink"/>
            <w:rFonts w:ascii="Arial" w:eastAsia="Aptos" w:hAnsi="Arial" w:cs="Arial"/>
            <w:color w:val="467886"/>
          </w:rPr>
          <w:t>Media Release – Youth in Crisis</w:t>
        </w:r>
      </w:hyperlink>
      <w:r w:rsidRPr="008A5009">
        <w:rPr>
          <w:rFonts w:ascii="Arial" w:eastAsia="Aptos" w:hAnsi="Arial" w:cs="Arial"/>
        </w:rPr>
        <w:t xml:space="preserve">  </w:t>
      </w:r>
    </w:p>
    <w:p w14:paraId="544EF5A8" w14:textId="385DC9E6" w:rsidR="0A598AB6" w:rsidRPr="008A5009" w:rsidRDefault="0A598AB6" w:rsidP="00420B77">
      <w:pPr>
        <w:spacing w:after="160" w:line="276" w:lineRule="auto"/>
        <w:rPr>
          <w:rFonts w:ascii="Arial" w:hAnsi="Arial" w:cs="Arial"/>
        </w:rPr>
      </w:pPr>
      <w:hyperlink r:id="rId23">
        <w:r w:rsidRPr="008A5009">
          <w:rPr>
            <w:rStyle w:val="Hyperlink"/>
            <w:rFonts w:ascii="Arial" w:eastAsia="Aptos" w:hAnsi="Arial" w:cs="Arial"/>
            <w:color w:val="467886"/>
          </w:rPr>
          <w:t>Jobs and Skills Australia Workplan Submission</w:t>
        </w:r>
      </w:hyperlink>
      <w:r w:rsidRPr="008A5009">
        <w:rPr>
          <w:rFonts w:ascii="Arial" w:eastAsia="Aptos" w:hAnsi="Arial" w:cs="Arial"/>
        </w:rPr>
        <w:t xml:space="preserve"> </w:t>
      </w:r>
    </w:p>
    <w:p w14:paraId="5CAD3445" w14:textId="06AF8955" w:rsidR="00220F62" w:rsidRPr="008A5009" w:rsidRDefault="00C93355" w:rsidP="00420B77">
      <w:pPr>
        <w:spacing w:line="276" w:lineRule="auto"/>
        <w:rPr>
          <w:rStyle w:val="Hyperlink"/>
          <w:rFonts w:ascii="Arial" w:hAnsi="Arial" w:cs="Arial"/>
        </w:rPr>
      </w:pPr>
      <w:r w:rsidRPr="008A5009">
        <w:rPr>
          <w:rFonts w:ascii="Arial" w:eastAsia="Aptos" w:hAnsi="Arial" w:cs="Arial"/>
        </w:rPr>
        <w:fldChar w:fldCharType="begin"/>
      </w:r>
      <w:r w:rsidRPr="008A5009">
        <w:rPr>
          <w:rFonts w:ascii="Arial" w:eastAsia="Aptos" w:hAnsi="Arial" w:cs="Arial"/>
        </w:rPr>
        <w:instrText>HYPERLINK "https://cyda.org.au/livedx-2022-series-full-policy-paper-tertiary-education-and-learning/"</w:instrText>
      </w:r>
      <w:r w:rsidRPr="008A5009">
        <w:rPr>
          <w:rFonts w:ascii="Arial" w:eastAsia="Aptos" w:hAnsi="Arial" w:cs="Arial"/>
        </w:rPr>
      </w:r>
      <w:r w:rsidRPr="008A5009">
        <w:rPr>
          <w:rFonts w:ascii="Arial" w:eastAsia="Aptos" w:hAnsi="Arial" w:cs="Arial"/>
        </w:rPr>
        <w:fldChar w:fldCharType="separate"/>
      </w:r>
      <w:proofErr w:type="spellStart"/>
      <w:r w:rsidR="0A598AB6" w:rsidRPr="008A5009">
        <w:rPr>
          <w:rStyle w:val="Hyperlink"/>
          <w:rFonts w:ascii="Arial" w:eastAsia="Aptos" w:hAnsi="Arial" w:cs="Arial"/>
        </w:rPr>
        <w:t>LivedX</w:t>
      </w:r>
      <w:proofErr w:type="spellEnd"/>
      <w:r w:rsidR="0A598AB6" w:rsidRPr="008A5009">
        <w:rPr>
          <w:rStyle w:val="Hyperlink"/>
          <w:rFonts w:ascii="Arial" w:eastAsia="Aptos" w:hAnsi="Arial" w:cs="Arial"/>
        </w:rPr>
        <w:t xml:space="preserve"> Series: What Young People Said - Tertiary Education and Learning</w:t>
      </w:r>
      <w:r w:rsidR="00220F62" w:rsidRPr="008A5009">
        <w:rPr>
          <w:rStyle w:val="Hyperlink"/>
          <w:rFonts w:ascii="Arial" w:eastAsia="Aptos" w:hAnsi="Arial" w:cs="Arial"/>
        </w:rPr>
        <w:t xml:space="preserve"> </w:t>
      </w:r>
    </w:p>
    <w:p w14:paraId="74180EC3" w14:textId="2B5FED37" w:rsidR="00CC75E3" w:rsidRDefault="00C93355" w:rsidP="00420B77">
      <w:pPr>
        <w:spacing w:line="276" w:lineRule="auto"/>
        <w:rPr>
          <w:rFonts w:ascii="Arial" w:eastAsia="Aptos" w:hAnsi="Arial" w:cs="Arial"/>
        </w:rPr>
      </w:pPr>
      <w:r w:rsidRPr="008A5009">
        <w:rPr>
          <w:rFonts w:ascii="Arial" w:eastAsia="Aptos" w:hAnsi="Arial" w:cs="Arial"/>
        </w:rPr>
        <w:fldChar w:fldCharType="end"/>
      </w:r>
    </w:p>
    <w:p w14:paraId="631C54F5" w14:textId="182616CB" w:rsidR="00967227" w:rsidRDefault="00DC3A7F" w:rsidP="00CC75E3">
      <w:pPr>
        <w:spacing w:line="276" w:lineRule="auto"/>
        <w:rPr>
          <w:rFonts w:ascii="Arial" w:eastAsia="Aptos" w:hAnsi="Arial" w:cs="Arial"/>
        </w:rPr>
      </w:pPr>
      <w:r>
        <w:rPr>
          <w:rFonts w:ascii="Arial" w:eastAsia="Aptos" w:hAnsi="Arial" w:cs="Arial"/>
        </w:rPr>
        <w:t>This submission is g</w:t>
      </w:r>
      <w:r w:rsidR="00785C81">
        <w:rPr>
          <w:rFonts w:ascii="Arial" w:eastAsia="Aptos" w:hAnsi="Arial" w:cs="Arial"/>
        </w:rPr>
        <w:t xml:space="preserve">uided by </w:t>
      </w:r>
      <w:r w:rsidR="00B427FD">
        <w:rPr>
          <w:rFonts w:ascii="Arial" w:eastAsia="Aptos" w:hAnsi="Arial" w:cs="Arial"/>
        </w:rPr>
        <w:t xml:space="preserve">lived experience of staff at </w:t>
      </w:r>
      <w:r w:rsidR="00DA5ABE">
        <w:rPr>
          <w:rFonts w:ascii="Arial" w:eastAsia="Aptos" w:hAnsi="Arial" w:cs="Arial"/>
        </w:rPr>
        <w:t>CYDA and</w:t>
      </w:r>
      <w:r w:rsidR="00B427FD">
        <w:rPr>
          <w:rFonts w:ascii="Arial" w:eastAsia="Aptos" w:hAnsi="Arial" w:cs="Arial"/>
        </w:rPr>
        <w:t xml:space="preserve"> grounded</w:t>
      </w:r>
      <w:r>
        <w:rPr>
          <w:rFonts w:ascii="Arial" w:eastAsia="Aptos" w:hAnsi="Arial" w:cs="Arial"/>
        </w:rPr>
        <w:t xml:space="preserve"> in </w:t>
      </w:r>
      <w:r w:rsidR="00785C81">
        <w:rPr>
          <w:rFonts w:ascii="Arial" w:eastAsia="Aptos" w:hAnsi="Arial" w:cs="Arial"/>
        </w:rPr>
        <w:t xml:space="preserve">both the </w:t>
      </w:r>
      <w:r w:rsidR="00785C81" w:rsidRPr="003A74A1">
        <w:rPr>
          <w:rFonts w:ascii="Arial" w:eastAsia="Aptos" w:hAnsi="Arial" w:cs="Arial"/>
          <w:i/>
        </w:rPr>
        <w:t xml:space="preserve">Disability Discrimination Act </w:t>
      </w:r>
      <w:r w:rsidR="007507AD" w:rsidRPr="003A74A1">
        <w:rPr>
          <w:rFonts w:ascii="Arial" w:eastAsia="Aptos" w:hAnsi="Arial" w:cs="Arial"/>
          <w:i/>
          <w:iCs/>
        </w:rPr>
        <w:t>1992</w:t>
      </w:r>
      <w:r w:rsidR="00785C81">
        <w:rPr>
          <w:rFonts w:ascii="Arial" w:eastAsia="Aptos" w:hAnsi="Arial" w:cs="Arial"/>
        </w:rPr>
        <w:t xml:space="preserve"> and Disability Standards for Education, as well as the </w:t>
      </w:r>
      <w:r>
        <w:rPr>
          <w:rFonts w:ascii="Arial" w:eastAsia="Aptos" w:hAnsi="Arial" w:cs="Arial"/>
        </w:rPr>
        <w:t>Australia</w:t>
      </w:r>
      <w:r w:rsidR="009C3A67">
        <w:rPr>
          <w:rFonts w:ascii="Arial" w:eastAsia="Aptos" w:hAnsi="Arial" w:cs="Arial"/>
        </w:rPr>
        <w:t>’s</w:t>
      </w:r>
      <w:r>
        <w:rPr>
          <w:rFonts w:ascii="Arial" w:eastAsia="Aptos" w:hAnsi="Arial" w:cs="Arial"/>
        </w:rPr>
        <w:t xml:space="preserve"> Disability Strate</w:t>
      </w:r>
      <w:r w:rsidR="00B427FD">
        <w:rPr>
          <w:rFonts w:ascii="Arial" w:eastAsia="Aptos" w:hAnsi="Arial" w:cs="Arial"/>
        </w:rPr>
        <w:t>gy</w:t>
      </w:r>
      <w:r w:rsidR="009C3A67">
        <w:rPr>
          <w:rFonts w:ascii="Arial" w:eastAsia="Aptos" w:hAnsi="Arial" w:cs="Arial"/>
        </w:rPr>
        <w:t xml:space="preserve"> 2021-2031</w:t>
      </w:r>
      <w:r w:rsidR="00B427FD">
        <w:rPr>
          <w:rFonts w:ascii="Arial" w:eastAsia="Aptos" w:hAnsi="Arial" w:cs="Arial"/>
        </w:rPr>
        <w:t xml:space="preserve">. These </w:t>
      </w:r>
      <w:r w:rsidR="009C3A67">
        <w:rPr>
          <w:rFonts w:ascii="Arial" w:eastAsia="Aptos" w:hAnsi="Arial" w:cs="Arial"/>
        </w:rPr>
        <w:t xml:space="preserve">instruments </w:t>
      </w:r>
      <w:r w:rsidR="00B427FD">
        <w:rPr>
          <w:rFonts w:ascii="Arial" w:eastAsia="Aptos" w:hAnsi="Arial" w:cs="Arial"/>
        </w:rPr>
        <w:t xml:space="preserve">set out a strong commitment to </w:t>
      </w:r>
      <w:r w:rsidR="00C51856">
        <w:rPr>
          <w:rFonts w:ascii="Arial" w:eastAsia="Aptos" w:hAnsi="Arial" w:cs="Arial"/>
        </w:rPr>
        <w:t xml:space="preserve">enhancing the experiences of </w:t>
      </w:r>
      <w:r w:rsidR="008F21A5">
        <w:rPr>
          <w:rFonts w:ascii="Arial" w:eastAsia="Aptos" w:hAnsi="Arial" w:cs="Arial"/>
        </w:rPr>
        <w:t xml:space="preserve">education for students with disability, through the elimination of discrimination and enabling access on the same basis as non-disabled peers. </w:t>
      </w:r>
    </w:p>
    <w:p w14:paraId="086219BD" w14:textId="77777777" w:rsidR="00CC75E3" w:rsidRPr="00926BC2" w:rsidRDefault="00CC75E3" w:rsidP="00420B77">
      <w:pPr>
        <w:spacing w:line="276" w:lineRule="auto"/>
        <w:rPr>
          <w:rFonts w:ascii="Arial" w:eastAsia="Aptos" w:hAnsi="Arial" w:cs="Arial"/>
        </w:rPr>
      </w:pPr>
    </w:p>
    <w:p w14:paraId="43C9DAD9" w14:textId="5BAEA8E2" w:rsidR="00967227" w:rsidRDefault="008F21A5" w:rsidP="00420B77">
      <w:pPr>
        <w:spacing w:after="160" w:line="276" w:lineRule="auto"/>
        <w:rPr>
          <w:rFonts w:ascii="Arial" w:hAnsi="Arial" w:cs="Arial"/>
        </w:rPr>
      </w:pPr>
      <w:r>
        <w:rPr>
          <w:rFonts w:ascii="Arial" w:hAnsi="Arial" w:cs="Arial"/>
        </w:rPr>
        <w:t xml:space="preserve">Despite these commitments, we continue to see students with disability </w:t>
      </w:r>
      <w:r w:rsidR="00503D7A">
        <w:rPr>
          <w:rFonts w:ascii="Arial" w:hAnsi="Arial" w:cs="Arial"/>
        </w:rPr>
        <w:t xml:space="preserve">facing barriers to accessing and engaging in post-secondary education, </w:t>
      </w:r>
      <w:r w:rsidR="001B1DA8">
        <w:rPr>
          <w:rFonts w:ascii="Arial" w:hAnsi="Arial" w:cs="Arial"/>
        </w:rPr>
        <w:t xml:space="preserve">with lower levels of </w:t>
      </w:r>
      <w:r w:rsidR="001B1DA8">
        <w:rPr>
          <w:rFonts w:ascii="Arial" w:hAnsi="Arial" w:cs="Arial"/>
        </w:rPr>
        <w:lastRenderedPageBreak/>
        <w:t>satisfaction in our higher education institutions, and poorer pathways to subsequent employment.</w:t>
      </w:r>
    </w:p>
    <w:p w14:paraId="2055E1E2" w14:textId="08DC42E6" w:rsidR="005E21DD" w:rsidRDefault="005E21DD" w:rsidP="00420B77">
      <w:pPr>
        <w:spacing w:after="160" w:line="276" w:lineRule="auto"/>
        <w:rPr>
          <w:rFonts w:ascii="Arial" w:hAnsi="Arial" w:cs="Arial"/>
        </w:rPr>
      </w:pPr>
      <w:r>
        <w:rPr>
          <w:rFonts w:ascii="Arial" w:hAnsi="Arial" w:cs="Arial"/>
        </w:rPr>
        <w:t xml:space="preserve">Data </w:t>
      </w:r>
      <w:r w:rsidR="003B003A">
        <w:rPr>
          <w:rFonts w:ascii="Arial" w:hAnsi="Arial" w:cs="Arial"/>
        </w:rPr>
        <w:t>demonstrates that more needs to be done to proactively support students with disability within the higher education sector</w:t>
      </w:r>
      <w:r w:rsidR="00E45CCE">
        <w:rPr>
          <w:rFonts w:ascii="Arial" w:hAnsi="Arial" w:cs="Arial"/>
        </w:rPr>
        <w:t>:</w:t>
      </w:r>
    </w:p>
    <w:p w14:paraId="71163E48" w14:textId="2CCBBD8F" w:rsidR="005E21DD" w:rsidRDefault="005E21DD" w:rsidP="00420B77">
      <w:pPr>
        <w:pStyle w:val="ListParagraph"/>
        <w:numPr>
          <w:ilvl w:val="0"/>
          <w:numId w:val="28"/>
        </w:numPr>
        <w:spacing w:after="160" w:line="276" w:lineRule="auto"/>
        <w:rPr>
          <w:rFonts w:ascii="Arial" w:hAnsi="Arial" w:cs="Arial"/>
        </w:rPr>
      </w:pPr>
      <w:r>
        <w:rPr>
          <w:rFonts w:ascii="Arial" w:hAnsi="Arial" w:cs="Arial"/>
        </w:rPr>
        <w:t xml:space="preserve">As </w:t>
      </w:r>
      <w:r w:rsidR="00DA5ABE">
        <w:rPr>
          <w:rFonts w:ascii="Arial" w:hAnsi="Arial" w:cs="Arial"/>
        </w:rPr>
        <w:t>of</w:t>
      </w:r>
      <w:r>
        <w:rPr>
          <w:rFonts w:ascii="Arial" w:hAnsi="Arial" w:cs="Arial"/>
        </w:rPr>
        <w:t xml:space="preserve"> 2018, 17% of people aged </w:t>
      </w:r>
      <w:r w:rsidR="00D11BF0">
        <w:rPr>
          <w:rFonts w:ascii="Arial" w:hAnsi="Arial" w:cs="Arial"/>
        </w:rPr>
        <w:t xml:space="preserve">20 and over with disability had a bachelor’s degree or higher (compared with 35% without disability) </w:t>
      </w:r>
      <w:r w:rsidR="00134E94">
        <w:rPr>
          <w:rStyle w:val="FootnoteReference"/>
          <w:rFonts w:ascii="Arial" w:hAnsi="Arial" w:cs="Arial"/>
        </w:rPr>
        <w:footnoteReference w:id="2"/>
      </w:r>
    </w:p>
    <w:p w14:paraId="6F238E33" w14:textId="300CBFAD" w:rsidR="002E450A" w:rsidRDefault="0059661B" w:rsidP="00420B77">
      <w:pPr>
        <w:pStyle w:val="ListParagraph"/>
        <w:numPr>
          <w:ilvl w:val="0"/>
          <w:numId w:val="28"/>
        </w:numPr>
        <w:spacing w:after="160" w:line="276" w:lineRule="auto"/>
        <w:rPr>
          <w:rFonts w:ascii="Arial" w:hAnsi="Arial" w:cs="Arial"/>
        </w:rPr>
      </w:pPr>
      <w:r>
        <w:rPr>
          <w:rFonts w:ascii="Arial" w:hAnsi="Arial" w:cs="Arial"/>
        </w:rPr>
        <w:t>In 2023, only 13% of students undertaking undergraduate degrees</w:t>
      </w:r>
      <w:r w:rsidR="00077C37">
        <w:rPr>
          <w:rFonts w:ascii="Arial" w:hAnsi="Arial" w:cs="Arial"/>
        </w:rPr>
        <w:t xml:space="preserve"> and only 3.9% of VET students</w:t>
      </w:r>
      <w:r>
        <w:rPr>
          <w:rFonts w:ascii="Arial" w:hAnsi="Arial" w:cs="Arial"/>
        </w:rPr>
        <w:t xml:space="preserve"> had disabilit</w:t>
      </w:r>
      <w:r w:rsidR="00077C37">
        <w:rPr>
          <w:rFonts w:ascii="Arial" w:hAnsi="Arial" w:cs="Arial"/>
        </w:rPr>
        <w:t>y</w:t>
      </w:r>
      <w:r w:rsidR="00633D98">
        <w:rPr>
          <w:rStyle w:val="FootnoteReference"/>
          <w:rFonts w:ascii="Arial" w:hAnsi="Arial" w:cs="Arial"/>
        </w:rPr>
        <w:footnoteReference w:id="3"/>
      </w:r>
    </w:p>
    <w:p w14:paraId="69562085" w14:textId="2C562BBE" w:rsidR="003E4BC7" w:rsidRPr="00021B18" w:rsidRDefault="004C1451" w:rsidP="00420B77">
      <w:pPr>
        <w:pStyle w:val="ListParagraph"/>
        <w:numPr>
          <w:ilvl w:val="0"/>
          <w:numId w:val="28"/>
        </w:numPr>
        <w:spacing w:after="160" w:line="276" w:lineRule="auto"/>
        <w:rPr>
          <w:rFonts w:ascii="Arial" w:hAnsi="Arial" w:cs="Arial"/>
        </w:rPr>
      </w:pPr>
      <w:r w:rsidRPr="00021B18">
        <w:rPr>
          <w:rFonts w:ascii="Arial" w:hAnsi="Arial" w:cs="Arial"/>
        </w:rPr>
        <w:t>Student</w:t>
      </w:r>
      <w:r w:rsidR="00021B18" w:rsidRPr="00021B18">
        <w:rPr>
          <w:rFonts w:ascii="Arial" w:hAnsi="Arial" w:cs="Arial"/>
        </w:rPr>
        <w:t xml:space="preserve"> satisfaction ratings</w:t>
      </w:r>
      <w:r w:rsidR="00AB5DBC">
        <w:rPr>
          <w:rFonts w:ascii="Arial" w:hAnsi="Arial" w:cs="Arial"/>
        </w:rPr>
        <w:t xml:space="preserve"> in the Q</w:t>
      </w:r>
      <w:r w:rsidR="00AC4C43">
        <w:rPr>
          <w:rFonts w:ascii="Arial" w:hAnsi="Arial" w:cs="Arial"/>
        </w:rPr>
        <w:t xml:space="preserve">uality </w:t>
      </w:r>
      <w:r w:rsidR="00AB5DBC">
        <w:rPr>
          <w:rFonts w:ascii="Arial" w:hAnsi="Arial" w:cs="Arial"/>
        </w:rPr>
        <w:t>I</w:t>
      </w:r>
      <w:r w:rsidR="00AC4C43">
        <w:rPr>
          <w:rFonts w:ascii="Arial" w:hAnsi="Arial" w:cs="Arial"/>
        </w:rPr>
        <w:t xml:space="preserve">ndicators for </w:t>
      </w:r>
      <w:r w:rsidR="00AB5DBC">
        <w:rPr>
          <w:rFonts w:ascii="Arial" w:hAnsi="Arial" w:cs="Arial"/>
        </w:rPr>
        <w:t>L</w:t>
      </w:r>
      <w:r w:rsidR="00AC4C43">
        <w:rPr>
          <w:rFonts w:ascii="Arial" w:hAnsi="Arial" w:cs="Arial"/>
        </w:rPr>
        <w:t xml:space="preserve">earning and </w:t>
      </w:r>
      <w:r w:rsidR="00AB5DBC">
        <w:rPr>
          <w:rFonts w:ascii="Arial" w:hAnsi="Arial" w:cs="Arial"/>
        </w:rPr>
        <w:t>T</w:t>
      </w:r>
      <w:r w:rsidR="00AC4C43">
        <w:rPr>
          <w:rFonts w:ascii="Arial" w:hAnsi="Arial" w:cs="Arial"/>
        </w:rPr>
        <w:t>eaching (QILT)</w:t>
      </w:r>
      <w:r w:rsidR="00AB5DBC">
        <w:rPr>
          <w:rFonts w:ascii="Arial" w:hAnsi="Arial" w:cs="Arial"/>
        </w:rPr>
        <w:t xml:space="preserve"> Student Experience Survey</w:t>
      </w:r>
      <w:r w:rsidR="00021B18" w:rsidRPr="00021B18">
        <w:rPr>
          <w:rFonts w:ascii="Arial" w:hAnsi="Arial" w:cs="Arial"/>
        </w:rPr>
        <w:t xml:space="preserve"> have been consistently lower for students with disabilities than those without since 2017.</w:t>
      </w:r>
      <w:r w:rsidR="00AB5DBC">
        <w:rPr>
          <w:rStyle w:val="FootnoteReference"/>
          <w:rFonts w:ascii="Arial" w:hAnsi="Arial" w:cs="Arial"/>
        </w:rPr>
        <w:footnoteReference w:id="4"/>
      </w:r>
    </w:p>
    <w:p w14:paraId="11CFA402" w14:textId="77777777" w:rsidR="00F4238C" w:rsidRPr="00420B77" w:rsidRDefault="00F4238C" w:rsidP="00420B77">
      <w:pPr>
        <w:rPr>
          <w:rFonts w:ascii="Arial" w:hAnsi="Arial" w:cs="Arial"/>
        </w:rPr>
      </w:pPr>
    </w:p>
    <w:p w14:paraId="31BA4D46" w14:textId="38E12E87" w:rsidR="002D3D89" w:rsidRPr="00385960" w:rsidRDefault="00710B7E" w:rsidP="00420B77">
      <w:pPr>
        <w:spacing w:after="240" w:line="276" w:lineRule="auto"/>
      </w:pPr>
      <w:r w:rsidRPr="00420B77">
        <w:rPr>
          <w:rFonts w:ascii="Arial" w:hAnsi="Arial" w:cs="Arial"/>
          <w:b/>
          <w:bCs/>
        </w:rPr>
        <w:t xml:space="preserve">Submission structure </w:t>
      </w:r>
      <w:r w:rsidR="622C0BCC" w:rsidRPr="00420B77">
        <w:rPr>
          <w:rFonts w:ascii="Arial" w:hAnsi="Arial" w:cs="Arial"/>
          <w:b/>
          <w:bCs/>
        </w:rPr>
        <w:t xml:space="preserve"> </w:t>
      </w:r>
    </w:p>
    <w:p w14:paraId="4F3DA4DE" w14:textId="1024E82A" w:rsidR="00710B7E" w:rsidRPr="008A5009" w:rsidRDefault="00710B7E" w:rsidP="00420B77">
      <w:pPr>
        <w:spacing w:after="160" w:line="276" w:lineRule="auto"/>
        <w:rPr>
          <w:rFonts w:ascii="Arial" w:eastAsia="Aptos" w:hAnsi="Arial" w:cs="Arial"/>
        </w:rPr>
      </w:pPr>
      <w:r w:rsidRPr="008A5009">
        <w:rPr>
          <w:rFonts w:ascii="Arial" w:eastAsia="Aptos" w:hAnsi="Arial" w:cs="Arial"/>
          <w:b/>
        </w:rPr>
        <w:t xml:space="preserve">The submission is structured </w:t>
      </w:r>
      <w:r w:rsidRPr="008A5009">
        <w:rPr>
          <w:rFonts w:ascii="Arial" w:eastAsia="Aptos" w:hAnsi="Arial" w:cs="Arial"/>
        </w:rPr>
        <w:t xml:space="preserve">in </w:t>
      </w:r>
      <w:r w:rsidR="007474FC">
        <w:rPr>
          <w:rFonts w:ascii="Arial" w:eastAsia="Aptos" w:hAnsi="Arial" w:cs="Arial"/>
          <w:noProof/>
        </w:rPr>
        <w:t xml:space="preserve">four </w:t>
      </w:r>
      <w:r w:rsidR="00751CE9">
        <w:rPr>
          <w:rFonts w:ascii="Arial" w:eastAsia="Aptos" w:hAnsi="Arial" w:cs="Arial"/>
          <w:noProof/>
        </w:rPr>
        <w:t>parts</w:t>
      </w:r>
      <w:r w:rsidR="622C0BCC" w:rsidRPr="008A5009">
        <w:rPr>
          <w:rFonts w:ascii="Arial" w:eastAsia="Aptos" w:hAnsi="Arial" w:cs="Arial"/>
          <w:noProof/>
        </w:rPr>
        <w:t>,</w:t>
      </w:r>
      <w:r w:rsidR="140C9071" w:rsidRPr="008A5009">
        <w:rPr>
          <w:rFonts w:ascii="Arial" w:eastAsia="Aptos" w:hAnsi="Arial" w:cs="Arial"/>
          <w:noProof/>
        </w:rPr>
        <w:t xml:space="preserve"> responding to the four areas for potential amendments in the consultation paper.</w:t>
      </w:r>
      <w:r w:rsidR="622C0BCC" w:rsidRPr="008A5009">
        <w:rPr>
          <w:rFonts w:ascii="Arial" w:eastAsia="Aptos" w:hAnsi="Arial" w:cs="Arial"/>
          <w:noProof/>
        </w:rPr>
        <w:t xml:space="preserve"> Each part leads with our recommendations and is followed by a more detailed response.</w:t>
      </w:r>
    </w:p>
    <w:p w14:paraId="4DC0B762" w14:textId="13FD6359" w:rsidR="622C0BCC" w:rsidRPr="008A5009" w:rsidRDefault="622C0BCC" w:rsidP="00420B77">
      <w:pPr>
        <w:spacing w:after="160" w:line="276" w:lineRule="auto"/>
        <w:rPr>
          <w:rFonts w:ascii="Arial" w:eastAsia="Aptos" w:hAnsi="Arial" w:cs="Arial"/>
          <w:noProof/>
        </w:rPr>
      </w:pPr>
      <w:r w:rsidRPr="008A5009">
        <w:rPr>
          <w:rFonts w:ascii="Arial" w:eastAsia="Aptos" w:hAnsi="Arial" w:cs="Arial"/>
          <w:b/>
          <w:bCs/>
          <w:noProof/>
        </w:rPr>
        <w:t xml:space="preserve">Part 1 </w:t>
      </w:r>
      <w:r w:rsidRPr="008A5009">
        <w:rPr>
          <w:rFonts w:ascii="Arial" w:eastAsia="Aptos" w:hAnsi="Arial" w:cs="Arial"/>
          <w:noProof/>
        </w:rPr>
        <w:t xml:space="preserve">addresses </w:t>
      </w:r>
      <w:r w:rsidRPr="00420B77">
        <w:rPr>
          <w:rFonts w:ascii="Arial" w:eastAsia="Aptos" w:hAnsi="Arial" w:cs="Arial"/>
          <w:b/>
          <w:bCs/>
          <w:noProof/>
        </w:rPr>
        <w:t xml:space="preserve">Questions 1 and 3 </w:t>
      </w:r>
      <w:r w:rsidRPr="008A5009">
        <w:rPr>
          <w:rFonts w:ascii="Arial" w:eastAsia="Aptos" w:hAnsi="Arial" w:cs="Arial"/>
          <w:noProof/>
        </w:rPr>
        <w:t>from the consultation paper</w:t>
      </w:r>
      <w:r w:rsidR="1037FECF" w:rsidRPr="008A5009">
        <w:rPr>
          <w:rFonts w:ascii="Arial" w:eastAsia="Aptos" w:hAnsi="Arial" w:cs="Arial"/>
          <w:noProof/>
        </w:rPr>
        <w:t>, addressing the potential for a regulatory</w:t>
      </w:r>
      <w:r w:rsidR="1037FECF" w:rsidRPr="008A5009">
        <w:rPr>
          <w:rFonts w:ascii="Arial" w:eastAsia="Aptos" w:hAnsi="Arial" w:cs="Arial"/>
          <w:b/>
          <w:bCs/>
          <w:noProof/>
        </w:rPr>
        <w:t xml:space="preserve"> system that puts students first. </w:t>
      </w:r>
    </w:p>
    <w:p w14:paraId="07895162" w14:textId="5F5C9DFE" w:rsidR="622C0BCC" w:rsidRPr="008A5009" w:rsidRDefault="622C0BCC" w:rsidP="00420B77">
      <w:pPr>
        <w:spacing w:after="160" w:line="276" w:lineRule="auto"/>
        <w:rPr>
          <w:rFonts w:ascii="Arial" w:eastAsia="Aptos" w:hAnsi="Arial" w:cs="Arial"/>
          <w:noProof/>
        </w:rPr>
      </w:pPr>
      <w:r w:rsidRPr="008A5009">
        <w:rPr>
          <w:rFonts w:ascii="Arial" w:eastAsia="Aptos" w:hAnsi="Arial" w:cs="Arial"/>
          <w:b/>
          <w:bCs/>
          <w:noProof/>
        </w:rPr>
        <w:t xml:space="preserve">Part 2 </w:t>
      </w:r>
      <w:r w:rsidRPr="008A5009">
        <w:rPr>
          <w:rFonts w:ascii="Arial" w:eastAsia="Aptos" w:hAnsi="Arial" w:cs="Arial"/>
          <w:noProof/>
        </w:rPr>
        <w:t xml:space="preserve">addresses </w:t>
      </w:r>
      <w:r w:rsidRPr="00420B77">
        <w:rPr>
          <w:rFonts w:ascii="Arial" w:eastAsia="Aptos" w:hAnsi="Arial" w:cs="Arial"/>
          <w:b/>
          <w:bCs/>
          <w:noProof/>
        </w:rPr>
        <w:t>Questions 12 and 13</w:t>
      </w:r>
      <w:r w:rsidRPr="008A5009">
        <w:rPr>
          <w:rFonts w:ascii="Arial" w:eastAsia="Aptos" w:hAnsi="Arial" w:cs="Arial"/>
          <w:noProof/>
        </w:rPr>
        <w:t xml:space="preserve"> from the consultation paper</w:t>
      </w:r>
      <w:r w:rsidR="146C02F7" w:rsidRPr="008A5009">
        <w:rPr>
          <w:rFonts w:ascii="Arial" w:eastAsia="Aptos" w:hAnsi="Arial" w:cs="Arial"/>
          <w:noProof/>
        </w:rPr>
        <w:t xml:space="preserve">, </w:t>
      </w:r>
      <w:r w:rsidR="5F4620F9" w:rsidRPr="008A5009">
        <w:rPr>
          <w:rFonts w:ascii="Arial" w:eastAsia="Aptos" w:hAnsi="Arial" w:cs="Arial"/>
          <w:noProof/>
        </w:rPr>
        <w:t>relating to potential reform of</w:t>
      </w:r>
      <w:r w:rsidR="146C02F7" w:rsidRPr="008A5009">
        <w:rPr>
          <w:rFonts w:ascii="Arial" w:eastAsia="Aptos" w:hAnsi="Arial" w:cs="Arial"/>
          <w:noProof/>
        </w:rPr>
        <w:t xml:space="preserve"> TEQSA as a modern regulator with </w:t>
      </w:r>
      <w:r w:rsidR="146C02F7" w:rsidRPr="008A5009">
        <w:rPr>
          <w:rFonts w:ascii="Arial" w:eastAsia="Aptos" w:hAnsi="Arial" w:cs="Arial"/>
          <w:b/>
          <w:bCs/>
          <w:noProof/>
        </w:rPr>
        <w:t>powers to address emerging and systemic challenges</w:t>
      </w:r>
      <w:r w:rsidR="00213E06">
        <w:rPr>
          <w:rFonts w:ascii="Arial" w:eastAsia="Aptos" w:hAnsi="Arial" w:cs="Arial"/>
          <w:b/>
          <w:bCs/>
          <w:noProof/>
        </w:rPr>
        <w:t>.</w:t>
      </w:r>
    </w:p>
    <w:p w14:paraId="58DCC4E1" w14:textId="0BF7BF34" w:rsidR="622C0BCC" w:rsidRPr="008A5009" w:rsidRDefault="622C0BCC" w:rsidP="00420B77">
      <w:pPr>
        <w:spacing w:after="160" w:line="276" w:lineRule="auto"/>
        <w:rPr>
          <w:rFonts w:ascii="Arial" w:eastAsia="Aptos" w:hAnsi="Arial" w:cs="Arial"/>
          <w:noProof/>
        </w:rPr>
      </w:pPr>
      <w:r w:rsidRPr="008A5009">
        <w:rPr>
          <w:rFonts w:ascii="Arial" w:eastAsia="Aptos" w:hAnsi="Arial" w:cs="Arial"/>
          <w:b/>
          <w:bCs/>
          <w:noProof/>
        </w:rPr>
        <w:t xml:space="preserve">Part 3 </w:t>
      </w:r>
      <w:r w:rsidRPr="008A5009">
        <w:rPr>
          <w:rFonts w:ascii="Arial" w:eastAsia="Aptos" w:hAnsi="Arial" w:cs="Arial"/>
          <w:noProof/>
        </w:rPr>
        <w:t xml:space="preserve">addresses </w:t>
      </w:r>
      <w:r w:rsidRPr="00420B77">
        <w:rPr>
          <w:rFonts w:ascii="Arial" w:eastAsia="Aptos" w:hAnsi="Arial" w:cs="Arial"/>
          <w:b/>
          <w:bCs/>
          <w:noProof/>
        </w:rPr>
        <w:t>Question 15</w:t>
      </w:r>
      <w:r w:rsidRPr="008A5009">
        <w:rPr>
          <w:rFonts w:ascii="Arial" w:eastAsia="Aptos" w:hAnsi="Arial" w:cs="Arial"/>
          <w:noProof/>
        </w:rPr>
        <w:t xml:space="preserve"> from the consultation paper</w:t>
      </w:r>
      <w:r w:rsidR="7E90A913" w:rsidRPr="008A5009">
        <w:rPr>
          <w:rFonts w:ascii="Arial" w:eastAsia="Aptos" w:hAnsi="Arial" w:cs="Arial"/>
          <w:noProof/>
        </w:rPr>
        <w:t xml:space="preserve">, </w:t>
      </w:r>
      <w:r w:rsidR="29685AEC" w:rsidRPr="008A5009">
        <w:rPr>
          <w:rFonts w:ascii="Arial" w:eastAsia="Aptos" w:hAnsi="Arial" w:cs="Arial"/>
          <w:noProof/>
        </w:rPr>
        <w:t xml:space="preserve">relating to opportunities to </w:t>
      </w:r>
      <w:r w:rsidR="29685AEC" w:rsidRPr="008A5009">
        <w:rPr>
          <w:rFonts w:ascii="Arial" w:eastAsia="Aptos" w:hAnsi="Arial" w:cs="Arial"/>
          <w:b/>
          <w:bCs/>
          <w:noProof/>
        </w:rPr>
        <w:t xml:space="preserve">streamline regulation for </w:t>
      </w:r>
      <w:r w:rsidR="29685AEC" w:rsidRPr="008A5009">
        <w:rPr>
          <w:rFonts w:ascii="Arial" w:eastAsia="Aptos" w:hAnsi="Arial" w:cs="Arial"/>
          <w:noProof/>
        </w:rPr>
        <w:t xml:space="preserve">univeristies and other higher education </w:t>
      </w:r>
      <w:r w:rsidR="29685AEC" w:rsidRPr="008A5009">
        <w:rPr>
          <w:rFonts w:ascii="Arial" w:eastAsia="Aptos" w:hAnsi="Arial" w:cs="Arial"/>
          <w:b/>
          <w:bCs/>
          <w:noProof/>
        </w:rPr>
        <w:t>providers.</w:t>
      </w:r>
    </w:p>
    <w:p w14:paraId="6BF73803" w14:textId="792C8A94" w:rsidR="622C0BCC" w:rsidRPr="008A5009" w:rsidRDefault="622C0BCC" w:rsidP="00420B77">
      <w:pPr>
        <w:spacing w:after="160" w:line="276" w:lineRule="auto"/>
        <w:rPr>
          <w:rFonts w:ascii="Arial" w:eastAsia="Aptos" w:hAnsi="Arial" w:cs="Arial"/>
          <w:noProof/>
        </w:rPr>
      </w:pPr>
      <w:r w:rsidRPr="008A5009">
        <w:rPr>
          <w:rFonts w:ascii="Arial" w:eastAsia="Aptos" w:hAnsi="Arial" w:cs="Arial"/>
          <w:b/>
          <w:bCs/>
          <w:noProof/>
        </w:rPr>
        <w:t xml:space="preserve">Part 4 </w:t>
      </w:r>
      <w:r w:rsidRPr="008A5009">
        <w:rPr>
          <w:rFonts w:ascii="Arial" w:eastAsia="Aptos" w:hAnsi="Arial" w:cs="Arial"/>
          <w:noProof/>
        </w:rPr>
        <w:t xml:space="preserve">addresses </w:t>
      </w:r>
      <w:r w:rsidRPr="00420B77">
        <w:rPr>
          <w:rFonts w:ascii="Arial" w:eastAsia="Aptos" w:hAnsi="Arial" w:cs="Arial"/>
          <w:b/>
          <w:bCs/>
          <w:noProof/>
        </w:rPr>
        <w:t>Questions 16</w:t>
      </w:r>
      <w:r w:rsidR="00213E06" w:rsidRPr="00420B77">
        <w:rPr>
          <w:rFonts w:ascii="Arial" w:eastAsia="Aptos" w:hAnsi="Arial" w:cs="Arial"/>
          <w:b/>
          <w:bCs/>
          <w:noProof/>
        </w:rPr>
        <w:t xml:space="preserve"> and</w:t>
      </w:r>
      <w:r w:rsidRPr="00420B77">
        <w:rPr>
          <w:rFonts w:ascii="Arial" w:eastAsia="Aptos" w:hAnsi="Arial" w:cs="Arial"/>
          <w:b/>
          <w:bCs/>
          <w:noProof/>
        </w:rPr>
        <w:t xml:space="preserve"> 16a</w:t>
      </w:r>
      <w:r w:rsidRPr="008A5009">
        <w:rPr>
          <w:rFonts w:ascii="Arial" w:eastAsia="Aptos" w:hAnsi="Arial" w:cs="Arial"/>
          <w:noProof/>
        </w:rPr>
        <w:t xml:space="preserve"> from the consultation paper</w:t>
      </w:r>
      <w:r w:rsidR="17B0B5D5" w:rsidRPr="008A5009">
        <w:rPr>
          <w:rFonts w:ascii="Arial" w:eastAsia="Aptos" w:hAnsi="Arial" w:cs="Arial"/>
          <w:noProof/>
        </w:rPr>
        <w:t>, relating to a system that supports a</w:t>
      </w:r>
      <w:r w:rsidR="17B0B5D5" w:rsidRPr="008A5009">
        <w:rPr>
          <w:rFonts w:ascii="Arial" w:eastAsia="Aptos" w:hAnsi="Arial" w:cs="Arial"/>
          <w:b/>
          <w:bCs/>
          <w:noProof/>
        </w:rPr>
        <w:t xml:space="preserve"> joined-up tertiary system.</w:t>
      </w:r>
    </w:p>
    <w:p w14:paraId="13D67F9E" w14:textId="691AF182" w:rsidR="2523C8DE" w:rsidRPr="008A5009" w:rsidRDefault="2523C8DE" w:rsidP="00420B77">
      <w:pPr>
        <w:pStyle w:val="CYDABodycopy"/>
        <w:spacing w:line="276" w:lineRule="auto"/>
      </w:pPr>
    </w:p>
    <w:p w14:paraId="45B00D5E" w14:textId="77777777" w:rsidR="00EF051F" w:rsidRPr="008A5009" w:rsidRDefault="00EF051F" w:rsidP="00420B77">
      <w:pPr>
        <w:pStyle w:val="CYDABodycopy"/>
        <w:spacing w:line="276" w:lineRule="auto"/>
        <w:rPr>
          <w:noProof w:val="0"/>
        </w:rPr>
      </w:pPr>
    </w:p>
    <w:p w14:paraId="3D0876E8" w14:textId="77777777" w:rsidR="008A35E5" w:rsidRDefault="008A35E5" w:rsidP="00420B77">
      <w:pPr>
        <w:spacing w:line="276" w:lineRule="auto"/>
        <w:rPr>
          <w:rFonts w:ascii="Arial" w:hAnsi="Arial" w:cs="Arial"/>
          <w:color w:val="000000"/>
        </w:rPr>
      </w:pPr>
      <w:r>
        <w:br w:type="page"/>
      </w:r>
    </w:p>
    <w:p w14:paraId="79C9C528" w14:textId="4C99A2D4" w:rsidR="00E819DA" w:rsidRPr="00420B77" w:rsidRDefault="00220F62" w:rsidP="00420B77">
      <w:pPr>
        <w:pStyle w:val="CYDABodycopy"/>
        <w:spacing w:line="276" w:lineRule="auto"/>
        <w:rPr>
          <w:b/>
          <w:bCs/>
          <w:noProof w:val="0"/>
          <w:sz w:val="44"/>
          <w:szCs w:val="44"/>
        </w:rPr>
      </w:pPr>
      <w:r w:rsidRPr="008A5009">
        <w:rPr>
          <w:noProof w:val="0"/>
        </w:rPr>
        <w:lastRenderedPageBreak/>
        <w:t xml:space="preserve"> </w:t>
      </w:r>
      <w:bookmarkStart w:id="3" w:name="_Toc199671258"/>
      <w:r w:rsidR="00EF494D" w:rsidRPr="00592F24">
        <w:rPr>
          <w:rStyle w:val="Heading1Char"/>
          <w:b w:val="0"/>
          <w:bCs w:val="0"/>
        </w:rPr>
        <w:drawing>
          <wp:anchor distT="0" distB="0" distL="114300" distR="114300" simplePos="0" relativeHeight="251658249" behindDoc="1" locked="0" layoutInCell="1" allowOverlap="1" wp14:anchorId="221DD1DC" wp14:editId="6066637F">
            <wp:simplePos x="0" y="0"/>
            <wp:positionH relativeFrom="column">
              <wp:posOffset>5439994</wp:posOffset>
            </wp:positionH>
            <wp:positionV relativeFrom="paragraph">
              <wp:posOffset>-840359</wp:posOffset>
            </wp:positionV>
            <wp:extent cx="863600" cy="863600"/>
            <wp:effectExtent l="0" t="0" r="0" b="0"/>
            <wp:wrapNone/>
            <wp:docPr id="1801700304" name="Picture 1801700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700304" name="Picture 1801700304"/>
                    <pic:cNvPicPr>
                      <a:picLocks/>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Toc211524720"/>
      <w:bookmarkEnd w:id="3"/>
      <w:r w:rsidR="00E819DA" w:rsidRPr="00592F24">
        <w:rPr>
          <w:rStyle w:val="Heading1Char"/>
        </w:rPr>
        <w:t xml:space="preserve">Part 1: </w:t>
      </w:r>
      <w:r w:rsidR="74864547" w:rsidRPr="00592F24">
        <w:rPr>
          <w:rStyle w:val="Heading1Char"/>
        </w:rPr>
        <w:t>A system that puts students first</w:t>
      </w:r>
      <w:bookmarkEnd w:id="4"/>
      <w:r w:rsidR="74864547" w:rsidRPr="00420B77">
        <w:rPr>
          <w:sz w:val="44"/>
          <w:szCs w:val="44"/>
        </w:rPr>
        <w:t>.</w:t>
      </w:r>
    </w:p>
    <w:p w14:paraId="133455AC" w14:textId="722852AC" w:rsidR="00E819DA" w:rsidRPr="008A5009" w:rsidRDefault="00E819DA" w:rsidP="00420B77">
      <w:pPr>
        <w:pStyle w:val="Heading3"/>
        <w:spacing w:line="276" w:lineRule="auto"/>
      </w:pPr>
      <w:bookmarkStart w:id="5" w:name="_Toc211524721"/>
      <w:r w:rsidRPr="008A5009">
        <w:t xml:space="preserve">Recommendation 1: </w:t>
      </w:r>
      <w:r w:rsidR="6ADB3019" w:rsidRPr="008A5009">
        <w:t>Place students with disability at the centre of reform</w:t>
      </w:r>
      <w:bookmarkEnd w:id="5"/>
    </w:p>
    <w:p w14:paraId="3E62B117" w14:textId="7674C50D" w:rsidR="00F733B5" w:rsidRPr="002337F7" w:rsidRDefault="00386A7E" w:rsidP="00420B77">
      <w:pPr>
        <w:pStyle w:val="CYDABodycopy"/>
        <w:spacing w:line="276" w:lineRule="auto"/>
        <w:rPr>
          <w:i/>
          <w:iCs/>
        </w:rPr>
      </w:pPr>
      <w:r w:rsidRPr="008A5009">
        <mc:AlternateContent>
          <mc:Choice Requires="wps">
            <w:drawing>
              <wp:anchor distT="180340" distB="180340" distL="114300" distR="114300" simplePos="0" relativeHeight="251658248" behindDoc="0" locked="0" layoutInCell="1" allowOverlap="1" wp14:anchorId="0A78A801" wp14:editId="70D63BFF">
                <wp:simplePos x="0" y="0"/>
                <wp:positionH relativeFrom="column">
                  <wp:posOffset>-28575</wp:posOffset>
                </wp:positionH>
                <wp:positionV relativeFrom="paragraph">
                  <wp:posOffset>375920</wp:posOffset>
                </wp:positionV>
                <wp:extent cx="5846445" cy="2781300"/>
                <wp:effectExtent l="0" t="0" r="1905" b="0"/>
                <wp:wrapTopAndBottom/>
                <wp:docPr id="413450863" name="Text Box 25"/>
                <wp:cNvGraphicFramePr/>
                <a:graphic xmlns:a="http://schemas.openxmlformats.org/drawingml/2006/main">
                  <a:graphicData uri="http://schemas.microsoft.com/office/word/2010/wordprocessingShape">
                    <wps:wsp>
                      <wps:cNvSpPr/>
                      <wps:spPr>
                        <a:xfrm>
                          <a:off x="0" y="0"/>
                          <a:ext cx="5846445" cy="2781300"/>
                        </a:xfrm>
                        <a:prstGeom prst="rect">
                          <a:avLst/>
                        </a:prstGeom>
                        <a:solidFill>
                          <a:schemeClr val="accent5">
                            <a:lumMod val="20000"/>
                            <a:lumOff val="80000"/>
                          </a:schemeClr>
                        </a:solidFill>
                        <a:ln w="6350">
                          <a:noFill/>
                        </a:ln>
                      </wps:spPr>
                      <wps:txbx>
                        <w:txbxContent>
                          <w:p w14:paraId="31CFC60A" w14:textId="77777777" w:rsidR="00A46682" w:rsidRPr="008401AF" w:rsidRDefault="00090B35" w:rsidP="004E0C7E">
                            <w:pPr>
                              <w:pStyle w:val="ListParagraph"/>
                              <w:numPr>
                                <w:ilvl w:val="0"/>
                                <w:numId w:val="29"/>
                              </w:numPr>
                              <w:spacing w:line="276" w:lineRule="auto"/>
                              <w:rPr>
                                <w:rFonts w:ascii="Arial" w:hAnsi="Arial" w:cs="Arial"/>
                              </w:rPr>
                            </w:pPr>
                            <w:r w:rsidRPr="008401AF">
                              <w:rPr>
                                <w:rFonts w:ascii="Arial" w:hAnsi="Arial" w:cs="Arial"/>
                              </w:rPr>
                              <w:t>A</w:t>
                            </w:r>
                            <w:r w:rsidRPr="008401AF">
                              <w:rPr>
                                <w:rFonts w:ascii="Arial" w:hAnsi="Arial" w:cs="Arial"/>
                                <w:color w:val="000000"/>
                              </w:rPr>
                              <w:t xml:space="preserve">mend the TEQSA Act to explicitly reference students, ensuring that </w:t>
                            </w:r>
                            <w:r w:rsidRPr="008401AF">
                              <w:rPr>
                                <w:rFonts w:ascii="Arial" w:hAnsi="Arial" w:cs="Arial"/>
                                <w:b/>
                                <w:color w:val="000000"/>
                              </w:rPr>
                              <w:t>reforms are designed with and for students</w:t>
                            </w:r>
                            <w:r w:rsidRPr="008401AF">
                              <w:rPr>
                                <w:rFonts w:ascii="Arial" w:hAnsi="Arial" w:cs="Arial"/>
                                <w:color w:val="000000"/>
                              </w:rPr>
                              <w:t>, with a clear focus on students with disability.</w:t>
                            </w:r>
                            <w:r w:rsidRPr="008401AF">
                              <w:rPr>
                                <w:rFonts w:ascii="Arial" w:hAnsi="Arial" w:cs="Arial"/>
                                <w:b/>
                                <w:color w:val="000000"/>
                              </w:rPr>
                              <w:t xml:space="preserve"> </w:t>
                            </w:r>
                          </w:p>
                          <w:p w14:paraId="74168434" w14:textId="77777777" w:rsidR="003D494D" w:rsidRPr="008A5009" w:rsidRDefault="003D494D" w:rsidP="004E0C7E">
                            <w:pPr>
                              <w:spacing w:line="276" w:lineRule="auto"/>
                              <w:rPr>
                                <w:rFonts w:ascii="Arial" w:hAnsi="Arial" w:cs="Arial"/>
                                <w:b/>
                                <w:bCs/>
                              </w:rPr>
                            </w:pPr>
                          </w:p>
                          <w:p w14:paraId="0AED2C47" w14:textId="77777777" w:rsidR="00A46682" w:rsidRPr="008A5009" w:rsidRDefault="00090B35" w:rsidP="004E0C7E">
                            <w:pPr>
                              <w:pStyle w:val="ListParagraph"/>
                              <w:numPr>
                                <w:ilvl w:val="0"/>
                                <w:numId w:val="23"/>
                              </w:numPr>
                              <w:spacing w:line="276" w:lineRule="auto"/>
                              <w:rPr>
                                <w:rFonts w:ascii="Arial" w:hAnsi="Arial" w:cs="Arial"/>
                                <w:b/>
                                <w:bCs/>
                              </w:rPr>
                            </w:pPr>
                            <w:r w:rsidRPr="008A5009">
                              <w:rPr>
                                <w:rFonts w:ascii="Arial" w:hAnsi="Arial" w:cs="Arial"/>
                                <w:b/>
                                <w:bCs/>
                              </w:rPr>
                              <w:t xml:space="preserve">Embed student voice </w:t>
                            </w:r>
                            <w:r w:rsidRPr="008A5009">
                              <w:rPr>
                                <w:rFonts w:ascii="Arial" w:hAnsi="Arial" w:cs="Arial"/>
                              </w:rPr>
                              <w:t xml:space="preserve">through co-design in revisions to the </w:t>
                            </w:r>
                            <w:r w:rsidRPr="008A5009">
                              <w:rPr>
                                <w:rFonts w:ascii="Arial" w:hAnsi="Arial" w:cs="Arial"/>
                                <w:i/>
                                <w:iCs/>
                              </w:rPr>
                              <w:t>Higher Education Standards Framework</w:t>
                            </w:r>
                            <w:r w:rsidRPr="008A5009">
                              <w:rPr>
                                <w:rFonts w:ascii="Arial" w:hAnsi="Arial" w:cs="Arial"/>
                              </w:rPr>
                              <w:t>.</w:t>
                            </w:r>
                          </w:p>
                          <w:p w14:paraId="471BA1E6" w14:textId="77777777" w:rsidR="003D494D" w:rsidRPr="008A5009" w:rsidRDefault="003D494D" w:rsidP="004E0C7E">
                            <w:pPr>
                              <w:spacing w:line="276" w:lineRule="auto"/>
                              <w:rPr>
                                <w:rFonts w:ascii="Arial" w:hAnsi="Arial" w:cs="Arial"/>
                                <w:b/>
                                <w:bCs/>
                              </w:rPr>
                            </w:pPr>
                          </w:p>
                          <w:p w14:paraId="47C84D93" w14:textId="73039AAD" w:rsidR="00A46682" w:rsidRPr="008A5009" w:rsidRDefault="00090B35" w:rsidP="004E0C7E">
                            <w:pPr>
                              <w:pStyle w:val="ListParagraph"/>
                              <w:numPr>
                                <w:ilvl w:val="0"/>
                                <w:numId w:val="23"/>
                              </w:numPr>
                              <w:spacing w:line="276" w:lineRule="auto"/>
                              <w:rPr>
                                <w:rFonts w:ascii="Arial" w:hAnsi="Arial" w:cs="Arial"/>
                              </w:rPr>
                            </w:pPr>
                            <w:r w:rsidRPr="008A5009">
                              <w:rPr>
                                <w:rFonts w:ascii="Arial" w:hAnsi="Arial" w:cs="Arial"/>
                                <w:b/>
                                <w:bCs/>
                              </w:rPr>
                              <w:t xml:space="preserve">Introduce </w:t>
                            </w:r>
                            <w:r w:rsidR="00BD4666">
                              <w:rPr>
                                <w:rFonts w:ascii="Arial" w:hAnsi="Arial" w:cs="Arial"/>
                                <w:b/>
                                <w:bCs/>
                              </w:rPr>
                              <w:t>a</w:t>
                            </w:r>
                            <w:r w:rsidRPr="008A5009">
                              <w:rPr>
                                <w:rFonts w:ascii="Arial" w:hAnsi="Arial" w:cs="Arial"/>
                                <w:b/>
                                <w:bCs/>
                              </w:rPr>
                              <w:t xml:space="preserve"> </w:t>
                            </w:r>
                            <w:r w:rsidR="004E0C7E">
                              <w:rPr>
                                <w:rFonts w:ascii="Arial" w:hAnsi="Arial" w:cs="Arial"/>
                                <w:b/>
                                <w:bCs/>
                              </w:rPr>
                              <w:t>p</w:t>
                            </w:r>
                            <w:r w:rsidRPr="008A5009">
                              <w:rPr>
                                <w:rFonts w:ascii="Arial" w:hAnsi="Arial" w:cs="Arial"/>
                                <w:b/>
                                <w:bCs/>
                              </w:rPr>
                              <w:t xml:space="preserve">ositive </w:t>
                            </w:r>
                            <w:r w:rsidR="004E0C7E">
                              <w:rPr>
                                <w:rFonts w:ascii="Arial" w:hAnsi="Arial" w:cs="Arial"/>
                                <w:b/>
                                <w:bCs/>
                              </w:rPr>
                              <w:t>d</w:t>
                            </w:r>
                            <w:r w:rsidRPr="008A5009">
                              <w:rPr>
                                <w:rFonts w:ascii="Arial" w:hAnsi="Arial" w:cs="Arial"/>
                                <w:b/>
                                <w:bCs/>
                              </w:rPr>
                              <w:t xml:space="preserve">uty </w:t>
                            </w:r>
                            <w:r w:rsidRPr="008A5009">
                              <w:rPr>
                                <w:rFonts w:ascii="Arial" w:hAnsi="Arial" w:cs="Arial"/>
                              </w:rPr>
                              <w:t>requiring universities to proactively ensure access, participation, and inclusion of students with disability across all aspects of student life.</w:t>
                            </w:r>
                          </w:p>
                          <w:p w14:paraId="1A768CD5" w14:textId="77777777" w:rsidR="003D494D" w:rsidRPr="008A5009" w:rsidRDefault="003D494D" w:rsidP="004E0C7E">
                            <w:pPr>
                              <w:spacing w:line="276" w:lineRule="auto"/>
                              <w:rPr>
                                <w:rFonts w:ascii="Arial" w:hAnsi="Arial" w:cs="Arial"/>
                                <w:b/>
                                <w:bCs/>
                              </w:rPr>
                            </w:pPr>
                          </w:p>
                          <w:p w14:paraId="6A54D991" w14:textId="77777777" w:rsidR="00A46682" w:rsidRPr="008A5009" w:rsidRDefault="00090B35" w:rsidP="004E0C7E">
                            <w:pPr>
                              <w:pStyle w:val="ListParagraph"/>
                              <w:numPr>
                                <w:ilvl w:val="0"/>
                                <w:numId w:val="23"/>
                              </w:numPr>
                              <w:spacing w:line="276" w:lineRule="auto"/>
                              <w:rPr>
                                <w:rFonts w:ascii="Arial" w:hAnsi="Arial" w:cs="Arial"/>
                                <w:b/>
                                <w:bCs/>
                              </w:rPr>
                            </w:pPr>
                            <w:r w:rsidRPr="008A5009">
                              <w:rPr>
                                <w:rFonts w:ascii="Arial" w:hAnsi="Arial" w:cs="Arial"/>
                                <w:b/>
                                <w:bCs/>
                              </w:rPr>
                              <w:t xml:space="preserve">Mandate public disclosure </w:t>
                            </w:r>
                            <w:r w:rsidRPr="008A5009">
                              <w:rPr>
                                <w:rFonts w:ascii="Arial" w:hAnsi="Arial" w:cs="Arial"/>
                              </w:rPr>
                              <w:t xml:space="preserve">of </w:t>
                            </w:r>
                            <w:r w:rsidRPr="008A5009">
                              <w:rPr>
                                <w:rFonts w:ascii="Arial" w:hAnsi="Arial" w:cs="Arial"/>
                                <w:color w:val="000000"/>
                              </w:rPr>
                              <w:t>a</w:t>
                            </w:r>
                            <w:r w:rsidRPr="008A5009">
                              <w:rPr>
                                <w:rFonts w:ascii="Arial" w:hAnsi="Arial" w:cs="Arial"/>
                              </w:rPr>
                              <w:t xml:space="preserve">ccessibility and </w:t>
                            </w:r>
                            <w:r w:rsidRPr="008A5009">
                              <w:rPr>
                                <w:rFonts w:ascii="Arial" w:hAnsi="Arial" w:cs="Arial"/>
                                <w:color w:val="000000"/>
                              </w:rPr>
                              <w:t>i</w:t>
                            </w:r>
                            <w:r w:rsidRPr="008A5009">
                              <w:rPr>
                                <w:rFonts w:ascii="Arial" w:hAnsi="Arial" w:cs="Arial"/>
                              </w:rPr>
                              <w:t xml:space="preserve">nclusion </w:t>
                            </w:r>
                            <w:r w:rsidRPr="008A5009">
                              <w:rPr>
                                <w:rFonts w:ascii="Arial" w:hAnsi="Arial" w:cs="Arial"/>
                                <w:color w:val="000000"/>
                              </w:rPr>
                              <w:t>i</w:t>
                            </w:r>
                            <w:r w:rsidRPr="008A5009">
                              <w:rPr>
                                <w:rFonts w:ascii="Arial" w:hAnsi="Arial" w:cs="Arial"/>
                              </w:rPr>
                              <w:t>ndicators to drive accountability and transparency.</w:t>
                            </w:r>
                          </w:p>
                          <w:p w14:paraId="542B6F5C" w14:textId="77777777" w:rsidR="00FB0E36" w:rsidRDefault="00090B35">
                            <w:pPr>
                              <w:spacing w:line="276" w:lineRule="auto"/>
                              <w:ind w:left="706"/>
                              <w:rPr>
                                <w:rFonts w:cs="Calibri"/>
                              </w:rPr>
                            </w:pPr>
                            <w:r>
                              <w:rPr>
                                <w:rFonts w:cs="Calibri"/>
                              </w:rPr>
                              <w:t> </w:t>
                            </w:r>
                          </w:p>
                        </w:txbxContent>
                      </wps:txbx>
                      <wps:bodyPr spcFirstLastPara="0" wrap="square" lIns="180000" tIns="0" rIns="180000" bIns="108000" anchor="t">
                        <a:noAutofit/>
                      </wps:bodyPr>
                    </wps:wsp>
                  </a:graphicData>
                </a:graphic>
                <wp14:sizeRelH relativeFrom="margin">
                  <wp14:pctWidth>0</wp14:pctWidth>
                </wp14:sizeRelH>
                <wp14:sizeRelV relativeFrom="margin">
                  <wp14:pctHeight>0</wp14:pctHeight>
                </wp14:sizeRelV>
              </wp:anchor>
            </w:drawing>
          </mc:Choice>
          <mc:Fallback>
            <w:pict>
              <v:rect w14:anchorId="0A78A801" id="_x0000_s1029" style="position:absolute;margin-left:-2.25pt;margin-top:29.6pt;width:460.35pt;height:219pt;z-index:251658248;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" fillcolor="#e0f1e0 [664]" stroked="f" strokeweight=".5pt">
                <v:textbox inset="5mm,0,5mm,3mm">
                  <w:txbxContent>
                    <w:p w14:paraId="31CFC60A" w14:textId="77777777" w:rsidR="00A46682" w:rsidRPr="008401AF" w:rsidRDefault="00090B35" w:rsidP="004E0C7E">
                      <w:pPr>
                        <w:pStyle w:val="ListParagraph"/>
                        <w:numPr>
                          <w:ilvl w:val="0"/>
                          <w:numId w:val="29"/>
                        </w:numPr>
                        <w:spacing w:line="276" w:lineRule="auto"/>
                        <w:rPr>
                          <w:rFonts w:ascii="Arial" w:hAnsi="Arial" w:cs="Arial"/>
                        </w:rPr>
                      </w:pPr>
                      <w:r w:rsidRPr="008401AF">
                        <w:rPr>
                          <w:rFonts w:ascii="Arial" w:hAnsi="Arial" w:cs="Arial"/>
                        </w:rPr>
                        <w:t>A</w:t>
                      </w:r>
                      <w:r w:rsidRPr="008401AF">
                        <w:rPr>
                          <w:rFonts w:ascii="Arial" w:hAnsi="Arial" w:cs="Arial"/>
                          <w:color w:val="000000"/>
                        </w:rPr>
                        <w:t xml:space="preserve">mend the TEQSA Act to explicitly reference students, ensuring that </w:t>
                      </w:r>
                      <w:r w:rsidRPr="008401AF">
                        <w:rPr>
                          <w:rFonts w:ascii="Arial" w:hAnsi="Arial" w:cs="Arial"/>
                          <w:b/>
                          <w:color w:val="000000"/>
                        </w:rPr>
                        <w:t>reforms are designed with and for students</w:t>
                      </w:r>
                      <w:r w:rsidRPr="008401AF">
                        <w:rPr>
                          <w:rFonts w:ascii="Arial" w:hAnsi="Arial" w:cs="Arial"/>
                          <w:color w:val="000000"/>
                        </w:rPr>
                        <w:t>, with a clear focus on students with disability.</w:t>
                      </w:r>
                      <w:r w:rsidRPr="008401AF">
                        <w:rPr>
                          <w:rFonts w:ascii="Arial" w:hAnsi="Arial" w:cs="Arial"/>
                          <w:b/>
                          <w:color w:val="000000"/>
                        </w:rPr>
                        <w:t xml:space="preserve"> </w:t>
                      </w:r>
                    </w:p>
                    <w:p w14:paraId="74168434" w14:textId="77777777" w:rsidR="003D494D" w:rsidRPr="008A5009" w:rsidRDefault="003D494D" w:rsidP="004E0C7E">
                      <w:pPr>
                        <w:spacing w:line="276" w:lineRule="auto"/>
                        <w:rPr>
                          <w:rFonts w:ascii="Arial" w:hAnsi="Arial" w:cs="Arial"/>
                          <w:b/>
                          <w:bCs/>
                        </w:rPr>
                      </w:pPr>
                    </w:p>
                    <w:p w14:paraId="0AED2C47" w14:textId="77777777" w:rsidR="00A46682" w:rsidRPr="008A5009" w:rsidRDefault="00090B35" w:rsidP="004E0C7E">
                      <w:pPr>
                        <w:pStyle w:val="ListParagraph"/>
                        <w:numPr>
                          <w:ilvl w:val="0"/>
                          <w:numId w:val="23"/>
                        </w:numPr>
                        <w:spacing w:line="276" w:lineRule="auto"/>
                        <w:rPr>
                          <w:rFonts w:ascii="Arial" w:hAnsi="Arial" w:cs="Arial"/>
                          <w:b/>
                          <w:bCs/>
                        </w:rPr>
                      </w:pPr>
                      <w:r w:rsidRPr="008A5009">
                        <w:rPr>
                          <w:rFonts w:ascii="Arial" w:hAnsi="Arial" w:cs="Arial"/>
                          <w:b/>
                          <w:bCs/>
                        </w:rPr>
                        <w:t xml:space="preserve">Embed student voice </w:t>
                      </w:r>
                      <w:r w:rsidRPr="008A5009">
                        <w:rPr>
                          <w:rFonts w:ascii="Arial" w:hAnsi="Arial" w:cs="Arial"/>
                        </w:rPr>
                        <w:t xml:space="preserve">through co-design in revisions to the </w:t>
                      </w:r>
                      <w:r w:rsidRPr="008A5009">
                        <w:rPr>
                          <w:rFonts w:ascii="Arial" w:hAnsi="Arial" w:cs="Arial"/>
                          <w:i/>
                          <w:iCs/>
                        </w:rPr>
                        <w:t>Higher Education Standards Framework</w:t>
                      </w:r>
                      <w:r w:rsidRPr="008A5009">
                        <w:rPr>
                          <w:rFonts w:ascii="Arial" w:hAnsi="Arial" w:cs="Arial"/>
                        </w:rPr>
                        <w:t>.</w:t>
                      </w:r>
                    </w:p>
                    <w:p w14:paraId="471BA1E6" w14:textId="77777777" w:rsidR="003D494D" w:rsidRPr="008A5009" w:rsidRDefault="003D494D" w:rsidP="004E0C7E">
                      <w:pPr>
                        <w:spacing w:line="276" w:lineRule="auto"/>
                        <w:rPr>
                          <w:rFonts w:ascii="Arial" w:hAnsi="Arial" w:cs="Arial"/>
                          <w:b/>
                          <w:bCs/>
                        </w:rPr>
                      </w:pPr>
                    </w:p>
                    <w:p w14:paraId="47C84D93" w14:textId="73039AAD" w:rsidR="00A46682" w:rsidRPr="008A5009" w:rsidRDefault="00090B35" w:rsidP="004E0C7E">
                      <w:pPr>
                        <w:pStyle w:val="ListParagraph"/>
                        <w:numPr>
                          <w:ilvl w:val="0"/>
                          <w:numId w:val="23"/>
                        </w:numPr>
                        <w:spacing w:line="276" w:lineRule="auto"/>
                        <w:rPr>
                          <w:rFonts w:ascii="Arial" w:hAnsi="Arial" w:cs="Arial"/>
                        </w:rPr>
                      </w:pPr>
                      <w:r w:rsidRPr="008A5009">
                        <w:rPr>
                          <w:rFonts w:ascii="Arial" w:hAnsi="Arial" w:cs="Arial"/>
                          <w:b/>
                          <w:bCs/>
                        </w:rPr>
                        <w:t xml:space="preserve">Introduce </w:t>
                      </w:r>
                      <w:r w:rsidR="00BD4666">
                        <w:rPr>
                          <w:rFonts w:ascii="Arial" w:hAnsi="Arial" w:cs="Arial"/>
                          <w:b/>
                          <w:bCs/>
                        </w:rPr>
                        <w:t>a</w:t>
                      </w:r>
                      <w:r w:rsidRPr="008A5009">
                        <w:rPr>
                          <w:rFonts w:ascii="Arial" w:hAnsi="Arial" w:cs="Arial"/>
                          <w:b/>
                          <w:bCs/>
                        </w:rPr>
                        <w:t xml:space="preserve"> </w:t>
                      </w:r>
                      <w:r w:rsidR="004E0C7E">
                        <w:rPr>
                          <w:rFonts w:ascii="Arial" w:hAnsi="Arial" w:cs="Arial"/>
                          <w:b/>
                          <w:bCs/>
                        </w:rPr>
                        <w:t>p</w:t>
                      </w:r>
                      <w:r w:rsidRPr="008A5009">
                        <w:rPr>
                          <w:rFonts w:ascii="Arial" w:hAnsi="Arial" w:cs="Arial"/>
                          <w:b/>
                          <w:bCs/>
                        </w:rPr>
                        <w:t xml:space="preserve">ositive </w:t>
                      </w:r>
                      <w:r w:rsidR="004E0C7E">
                        <w:rPr>
                          <w:rFonts w:ascii="Arial" w:hAnsi="Arial" w:cs="Arial"/>
                          <w:b/>
                          <w:bCs/>
                        </w:rPr>
                        <w:t>d</w:t>
                      </w:r>
                      <w:r w:rsidRPr="008A5009">
                        <w:rPr>
                          <w:rFonts w:ascii="Arial" w:hAnsi="Arial" w:cs="Arial"/>
                          <w:b/>
                          <w:bCs/>
                        </w:rPr>
                        <w:t xml:space="preserve">uty </w:t>
                      </w:r>
                      <w:r w:rsidRPr="008A5009">
                        <w:rPr>
                          <w:rFonts w:ascii="Arial" w:hAnsi="Arial" w:cs="Arial"/>
                        </w:rPr>
                        <w:t>requiring universities to proactively ensure access, participation, and inclusion of students with disability across all aspects of student life.</w:t>
                      </w:r>
                    </w:p>
                    <w:p w14:paraId="1A768CD5" w14:textId="77777777" w:rsidR="003D494D" w:rsidRPr="008A5009" w:rsidRDefault="003D494D" w:rsidP="004E0C7E">
                      <w:pPr>
                        <w:spacing w:line="276" w:lineRule="auto"/>
                        <w:rPr>
                          <w:rFonts w:ascii="Arial" w:hAnsi="Arial" w:cs="Arial"/>
                          <w:b/>
                          <w:bCs/>
                        </w:rPr>
                      </w:pPr>
                    </w:p>
                    <w:p w14:paraId="6A54D991" w14:textId="77777777" w:rsidR="00A46682" w:rsidRPr="008A5009" w:rsidRDefault="00090B35" w:rsidP="004E0C7E">
                      <w:pPr>
                        <w:pStyle w:val="ListParagraph"/>
                        <w:numPr>
                          <w:ilvl w:val="0"/>
                          <w:numId w:val="23"/>
                        </w:numPr>
                        <w:spacing w:line="276" w:lineRule="auto"/>
                        <w:rPr>
                          <w:rFonts w:ascii="Arial" w:hAnsi="Arial" w:cs="Arial"/>
                          <w:b/>
                          <w:bCs/>
                        </w:rPr>
                      </w:pPr>
                      <w:r w:rsidRPr="008A5009">
                        <w:rPr>
                          <w:rFonts w:ascii="Arial" w:hAnsi="Arial" w:cs="Arial"/>
                          <w:b/>
                          <w:bCs/>
                        </w:rPr>
                        <w:t xml:space="preserve">Mandate public disclosure </w:t>
                      </w:r>
                      <w:r w:rsidRPr="008A5009">
                        <w:rPr>
                          <w:rFonts w:ascii="Arial" w:hAnsi="Arial" w:cs="Arial"/>
                        </w:rPr>
                        <w:t xml:space="preserve">of </w:t>
                      </w:r>
                      <w:r w:rsidRPr="008A5009">
                        <w:rPr>
                          <w:rFonts w:ascii="Arial" w:hAnsi="Arial" w:cs="Arial"/>
                          <w:color w:val="000000"/>
                        </w:rPr>
                        <w:t>a</w:t>
                      </w:r>
                      <w:r w:rsidRPr="008A5009">
                        <w:rPr>
                          <w:rFonts w:ascii="Arial" w:hAnsi="Arial" w:cs="Arial"/>
                        </w:rPr>
                        <w:t xml:space="preserve">ccessibility and </w:t>
                      </w:r>
                      <w:r w:rsidRPr="008A5009">
                        <w:rPr>
                          <w:rFonts w:ascii="Arial" w:hAnsi="Arial" w:cs="Arial"/>
                          <w:color w:val="000000"/>
                        </w:rPr>
                        <w:t>i</w:t>
                      </w:r>
                      <w:r w:rsidRPr="008A5009">
                        <w:rPr>
                          <w:rFonts w:ascii="Arial" w:hAnsi="Arial" w:cs="Arial"/>
                        </w:rPr>
                        <w:t xml:space="preserve">nclusion </w:t>
                      </w:r>
                      <w:r w:rsidRPr="008A5009">
                        <w:rPr>
                          <w:rFonts w:ascii="Arial" w:hAnsi="Arial" w:cs="Arial"/>
                          <w:color w:val="000000"/>
                        </w:rPr>
                        <w:t>i</w:t>
                      </w:r>
                      <w:r w:rsidRPr="008A5009">
                        <w:rPr>
                          <w:rFonts w:ascii="Arial" w:hAnsi="Arial" w:cs="Arial"/>
                        </w:rPr>
                        <w:t>ndicators to drive accountability and transparency.</w:t>
                      </w:r>
                    </w:p>
                    <w:p w14:paraId="542B6F5C" w14:textId="77777777" w:rsidR="00FB0E36" w:rsidRDefault="00090B35">
                      <w:pPr>
                        <w:spacing w:line="276" w:lineRule="auto"/>
                        <w:ind w:left="706"/>
                        <w:rPr>
                          <w:rFonts w:cs="Calibri"/>
                        </w:rPr>
                      </w:pPr>
                      <w:r>
                        <w:rPr>
                          <w:rFonts w:cs="Calibri"/>
                        </w:rPr>
                        <w:t> </w:t>
                      </w:r>
                    </w:p>
                  </w:txbxContent>
                </v:textbox>
                <w10:wrap type="topAndBottom"/>
              </v:rect>
            </w:pict>
          </mc:Fallback>
        </mc:AlternateContent>
      </w:r>
      <w:r w:rsidR="00D8788F" w:rsidRPr="008A5009">
        <w:t>(</w:t>
      </w:r>
      <w:r w:rsidR="00D8788F" w:rsidRPr="008A5009">
        <w:rPr>
          <w:i/>
          <w:iCs/>
        </w:rPr>
        <w:t xml:space="preserve">Response to Questions </w:t>
      </w:r>
      <w:r w:rsidR="3212E58C" w:rsidRPr="008A5009">
        <w:rPr>
          <w:i/>
          <w:iCs/>
        </w:rPr>
        <w:t>1</w:t>
      </w:r>
      <w:r w:rsidR="00D8788F" w:rsidRPr="008A5009">
        <w:rPr>
          <w:i/>
          <w:iCs/>
        </w:rPr>
        <w:t xml:space="preserve"> and </w:t>
      </w:r>
      <w:r w:rsidR="3212E58C" w:rsidRPr="008A5009">
        <w:rPr>
          <w:i/>
          <w:iCs/>
        </w:rPr>
        <w:t>3</w:t>
      </w:r>
      <w:r w:rsidR="00D8788F" w:rsidRPr="008A5009">
        <w:rPr>
          <w:i/>
          <w:iCs/>
        </w:rPr>
        <w:t xml:space="preserve"> of the </w:t>
      </w:r>
      <w:r w:rsidR="086FE8DB" w:rsidRPr="008A5009">
        <w:rPr>
          <w:i/>
          <w:iCs/>
        </w:rPr>
        <w:t>Consultation</w:t>
      </w:r>
      <w:r w:rsidR="00D8788F" w:rsidRPr="008A5009">
        <w:rPr>
          <w:i/>
          <w:iCs/>
        </w:rPr>
        <w:t xml:space="preserve"> Paper)</w:t>
      </w:r>
    </w:p>
    <w:p w14:paraId="30327E43" w14:textId="2B910BBD" w:rsidR="002337F7" w:rsidRPr="000232E7" w:rsidRDefault="001F24D8" w:rsidP="00420B77">
      <w:pPr>
        <w:spacing w:after="160" w:line="276" w:lineRule="auto"/>
        <w:rPr>
          <w:rFonts w:ascii="Arial" w:hAnsi="Arial" w:cs="Arial"/>
        </w:rPr>
      </w:pPr>
      <w:r>
        <w:rPr>
          <w:rFonts w:ascii="Arial" w:hAnsi="Arial" w:cs="Arial"/>
        </w:rPr>
        <w:t xml:space="preserve">The Quality Indicators for Learning and Teaching (QILT) </w:t>
      </w:r>
      <w:r w:rsidR="002337F7" w:rsidRPr="000232E7">
        <w:rPr>
          <w:rFonts w:ascii="Arial" w:hAnsi="Arial" w:cs="Arial"/>
        </w:rPr>
        <w:t xml:space="preserve">Student Experience Survey </w:t>
      </w:r>
      <w:r w:rsidR="00D25C8D">
        <w:rPr>
          <w:rFonts w:ascii="Arial" w:hAnsi="Arial" w:cs="Arial"/>
        </w:rPr>
        <w:t>(SES)</w:t>
      </w:r>
      <w:r w:rsidR="002337F7" w:rsidRPr="000232E7">
        <w:rPr>
          <w:rFonts w:ascii="Arial" w:hAnsi="Arial" w:cs="Arial"/>
        </w:rPr>
        <w:t xml:space="preserve"> has reported that</w:t>
      </w:r>
      <w:r w:rsidR="00A21512">
        <w:rPr>
          <w:rFonts w:ascii="Arial" w:hAnsi="Arial" w:cs="Arial"/>
        </w:rPr>
        <w:t xml:space="preserve"> </w:t>
      </w:r>
      <w:r w:rsidR="006D5BB0">
        <w:rPr>
          <w:rFonts w:ascii="Arial" w:hAnsi="Arial" w:cs="Arial"/>
        </w:rPr>
        <w:t xml:space="preserve">student experience ratings have been </w:t>
      </w:r>
      <w:r w:rsidR="002337F7" w:rsidRPr="000232E7">
        <w:rPr>
          <w:rFonts w:ascii="Arial" w:hAnsi="Arial" w:cs="Arial"/>
        </w:rPr>
        <w:t>consistently lower for students with a reported disability. It is disappointing that this trend ha</w:t>
      </w:r>
      <w:r w:rsidR="00690CB3">
        <w:rPr>
          <w:rFonts w:ascii="Arial" w:hAnsi="Arial" w:cs="Arial"/>
        </w:rPr>
        <w:t>s</w:t>
      </w:r>
      <w:r w:rsidR="002337F7" w:rsidRPr="000232E7">
        <w:rPr>
          <w:rFonts w:ascii="Arial" w:hAnsi="Arial" w:cs="Arial"/>
        </w:rPr>
        <w:t xml:space="preserve"> persist</w:t>
      </w:r>
      <w:r w:rsidR="00690CB3">
        <w:rPr>
          <w:rFonts w:ascii="Arial" w:hAnsi="Arial" w:cs="Arial"/>
        </w:rPr>
        <w:t xml:space="preserve">ed </w:t>
      </w:r>
      <w:r w:rsidR="002337F7" w:rsidRPr="000232E7">
        <w:rPr>
          <w:rFonts w:ascii="Arial" w:hAnsi="Arial" w:cs="Arial"/>
        </w:rPr>
        <w:t xml:space="preserve">since 2017. The </w:t>
      </w:r>
      <w:r w:rsidR="00D25C8D">
        <w:rPr>
          <w:rFonts w:ascii="Arial" w:hAnsi="Arial" w:cs="Arial"/>
        </w:rPr>
        <w:t>SES</w:t>
      </w:r>
      <w:r w:rsidR="002337F7" w:rsidRPr="000232E7">
        <w:rPr>
          <w:rFonts w:ascii="Arial" w:hAnsi="Arial" w:cs="Arial"/>
        </w:rPr>
        <w:t xml:space="preserve"> report highlights this as an area where institutions could focus improvement efforts.</w:t>
      </w:r>
      <w:r w:rsidR="002337F7" w:rsidRPr="000232E7">
        <w:rPr>
          <w:rStyle w:val="FootnoteReference"/>
          <w:rFonts w:ascii="Arial" w:hAnsi="Arial" w:cs="Arial"/>
        </w:rPr>
        <w:footnoteReference w:id="5"/>
      </w:r>
    </w:p>
    <w:p w14:paraId="72CFB543" w14:textId="084EE390" w:rsidR="002337F7" w:rsidRPr="008A4A4C" w:rsidRDefault="007754B6" w:rsidP="00420B77">
      <w:pPr>
        <w:spacing w:after="160" w:line="276" w:lineRule="auto"/>
        <w:rPr>
          <w:rFonts w:ascii="Arial" w:hAnsi="Arial" w:cs="Arial"/>
          <w:b/>
          <w:bCs/>
        </w:rPr>
      </w:pPr>
      <w:r>
        <w:rPr>
          <w:rFonts w:ascii="Arial" w:hAnsi="Arial" w:cs="Arial"/>
        </w:rPr>
        <w:t xml:space="preserve">CYDA </w:t>
      </w:r>
      <w:r w:rsidRPr="000232E7">
        <w:rPr>
          <w:rFonts w:ascii="Arial" w:hAnsi="Arial" w:cs="Arial"/>
        </w:rPr>
        <w:t>recommend</w:t>
      </w:r>
      <w:r>
        <w:rPr>
          <w:rFonts w:ascii="Arial" w:hAnsi="Arial" w:cs="Arial"/>
        </w:rPr>
        <w:t>s</w:t>
      </w:r>
      <w:r w:rsidRPr="000232E7">
        <w:rPr>
          <w:rFonts w:ascii="Arial" w:hAnsi="Arial" w:cs="Arial"/>
        </w:rPr>
        <w:t xml:space="preserve"> </w:t>
      </w:r>
      <w:r>
        <w:rPr>
          <w:rFonts w:ascii="Arial" w:hAnsi="Arial" w:cs="Arial"/>
        </w:rPr>
        <w:t>t</w:t>
      </w:r>
      <w:r w:rsidRPr="000232E7">
        <w:rPr>
          <w:rFonts w:ascii="Arial" w:hAnsi="Arial" w:cs="Arial"/>
        </w:rPr>
        <w:t>hat</w:t>
      </w:r>
      <w:r w:rsidR="002337F7" w:rsidRPr="000232E7">
        <w:rPr>
          <w:rFonts w:ascii="Arial" w:hAnsi="Arial" w:cs="Arial"/>
        </w:rPr>
        <w:t xml:space="preserve"> the TEQSA Act be amended to </w:t>
      </w:r>
      <w:r w:rsidR="002337F7" w:rsidRPr="008A4A4C">
        <w:rPr>
          <w:rFonts w:ascii="Arial" w:hAnsi="Arial" w:cs="Arial"/>
          <w:b/>
          <w:bCs/>
        </w:rPr>
        <w:t>explicitly reference students, embedding</w:t>
      </w:r>
      <w:r w:rsidR="00613156">
        <w:rPr>
          <w:rFonts w:ascii="Arial" w:hAnsi="Arial" w:cs="Arial"/>
          <w:b/>
          <w:bCs/>
        </w:rPr>
        <w:t xml:space="preserve"> students with disability</w:t>
      </w:r>
      <w:r w:rsidR="002337F7" w:rsidRPr="008A4A4C">
        <w:rPr>
          <w:rFonts w:ascii="Arial" w:hAnsi="Arial" w:cs="Arial"/>
          <w:b/>
          <w:bCs/>
        </w:rPr>
        <w:t xml:space="preserve"> at the centre of reforms.</w:t>
      </w:r>
    </w:p>
    <w:p w14:paraId="2569B67D" w14:textId="77777777" w:rsidR="002337F7" w:rsidRPr="000232E7" w:rsidRDefault="002337F7" w:rsidP="00420B77">
      <w:pPr>
        <w:spacing w:after="160" w:line="276" w:lineRule="auto"/>
        <w:ind w:left="720"/>
        <w:rPr>
          <w:rFonts w:ascii="Arial" w:hAnsi="Arial" w:cs="Arial"/>
          <w:color w:val="419845" w:themeColor="accent5" w:themeShade="BF"/>
        </w:rPr>
      </w:pPr>
      <w:r w:rsidRPr="000232E7">
        <w:rPr>
          <w:rFonts w:ascii="Arial" w:hAnsi="Arial" w:cs="Arial"/>
          <w:color w:val="419845" w:themeColor="accent5" w:themeShade="BF"/>
        </w:rPr>
        <w:t xml:space="preserve">Institutions should be </w:t>
      </w:r>
      <w:r w:rsidRPr="000232E7">
        <w:rPr>
          <w:rFonts w:ascii="Arial" w:hAnsi="Arial" w:cs="Arial"/>
          <w:i/>
          <w:iCs/>
          <w:color w:val="419845" w:themeColor="accent5" w:themeShade="BF"/>
        </w:rPr>
        <w:t>“actively seeking to employ and enrol disabled people and provide support”</w:t>
      </w:r>
      <w:r w:rsidRPr="000232E7">
        <w:rPr>
          <w:rFonts w:ascii="Arial" w:hAnsi="Arial" w:cs="Arial"/>
          <w:color w:val="419845" w:themeColor="accent5" w:themeShade="BF"/>
        </w:rPr>
        <w:t xml:space="preserve"> and </w:t>
      </w:r>
      <w:r w:rsidRPr="000232E7">
        <w:rPr>
          <w:rFonts w:ascii="Arial" w:hAnsi="Arial" w:cs="Arial"/>
          <w:i/>
          <w:iCs/>
          <w:color w:val="419845" w:themeColor="accent5" w:themeShade="BF"/>
        </w:rPr>
        <w:t>“actively consulting with disabled staff, students, prospective students and alumni”.</w:t>
      </w:r>
      <w:r w:rsidRPr="000232E7">
        <w:rPr>
          <w:rFonts w:ascii="Arial" w:hAnsi="Arial" w:cs="Arial"/>
          <w:color w:val="419845" w:themeColor="accent5" w:themeShade="BF"/>
        </w:rPr>
        <w:t xml:space="preserve"> </w:t>
      </w:r>
      <w:r w:rsidRPr="000232E7">
        <w:rPr>
          <w:rStyle w:val="FootnoteReference"/>
          <w:rFonts w:ascii="Arial" w:hAnsi="Arial" w:cs="Arial"/>
          <w:color w:val="419845" w:themeColor="accent5" w:themeShade="BF"/>
        </w:rPr>
        <w:footnoteReference w:id="6"/>
      </w:r>
    </w:p>
    <w:p w14:paraId="5A7D06DF" w14:textId="51A89999" w:rsidR="002337F7" w:rsidRDefault="002337F7" w:rsidP="00420B77">
      <w:pPr>
        <w:spacing w:before="240" w:line="276" w:lineRule="auto"/>
        <w:jc w:val="both"/>
        <w:rPr>
          <w:rFonts w:ascii="Arial" w:hAnsi="Arial" w:cs="Arial"/>
        </w:rPr>
      </w:pPr>
      <w:r w:rsidRPr="000232E7">
        <w:rPr>
          <w:rFonts w:ascii="Arial" w:hAnsi="Arial" w:cs="Arial"/>
        </w:rPr>
        <w:t xml:space="preserve">Through embedding students in the Act, the associated threshold standards and policy reviews could proceed with </w:t>
      </w:r>
      <w:r w:rsidRPr="008A4A4C">
        <w:rPr>
          <w:rFonts w:ascii="Arial" w:hAnsi="Arial" w:cs="Arial"/>
          <w:b/>
          <w:bCs/>
        </w:rPr>
        <w:t>genuine commitment to embedding student voice</w:t>
      </w:r>
      <w:r w:rsidRPr="000232E7">
        <w:rPr>
          <w:rFonts w:ascii="Arial" w:hAnsi="Arial" w:cs="Arial"/>
        </w:rPr>
        <w:t xml:space="preserve"> through co-design processes. </w:t>
      </w:r>
    </w:p>
    <w:p w14:paraId="14D6C319" w14:textId="7674EF32" w:rsidR="00690CB3" w:rsidRPr="000232E7" w:rsidRDefault="002337F7" w:rsidP="00420B77">
      <w:pPr>
        <w:spacing w:before="240" w:after="240" w:line="276" w:lineRule="auto"/>
        <w:jc w:val="both"/>
        <w:rPr>
          <w:rFonts w:ascii="Arial" w:hAnsi="Arial" w:cs="Arial"/>
        </w:rPr>
      </w:pPr>
      <w:r w:rsidRPr="000232E7">
        <w:rPr>
          <w:rFonts w:ascii="Arial" w:hAnsi="Arial" w:cs="Arial"/>
        </w:rPr>
        <w:t xml:space="preserve">CYDA recommends the introduction of a </w:t>
      </w:r>
      <w:r w:rsidRPr="008A4A4C">
        <w:rPr>
          <w:rFonts w:ascii="Arial" w:hAnsi="Arial" w:cs="Arial"/>
          <w:b/>
          <w:bCs/>
        </w:rPr>
        <w:t>positive duty in the TEQSA Act</w:t>
      </w:r>
      <w:r w:rsidRPr="000232E7">
        <w:rPr>
          <w:rFonts w:ascii="Arial" w:hAnsi="Arial" w:cs="Arial"/>
        </w:rPr>
        <w:t xml:space="preserve">. Currently, discrimination within the higher education system is addressed reactively, and only in the case that complaints are </w:t>
      </w:r>
      <w:r w:rsidR="002D2C92" w:rsidRPr="000232E7">
        <w:rPr>
          <w:rFonts w:ascii="Arial" w:hAnsi="Arial" w:cs="Arial"/>
        </w:rPr>
        <w:t>raised</w:t>
      </w:r>
      <w:r w:rsidRPr="000232E7">
        <w:rPr>
          <w:rFonts w:ascii="Arial" w:hAnsi="Arial" w:cs="Arial"/>
        </w:rPr>
        <w:t xml:space="preserve">. Placing obligations on duty holders to take </w:t>
      </w:r>
      <w:r w:rsidRPr="000232E7">
        <w:rPr>
          <w:rFonts w:ascii="Arial" w:hAnsi="Arial" w:cs="Arial"/>
          <w:b/>
          <w:bCs/>
        </w:rPr>
        <w:lastRenderedPageBreak/>
        <w:t>proactive steps to adhere to the threshold standards</w:t>
      </w:r>
      <w:r w:rsidRPr="000232E7">
        <w:rPr>
          <w:rFonts w:ascii="Arial" w:hAnsi="Arial" w:cs="Arial"/>
        </w:rPr>
        <w:t xml:space="preserve"> (in the Higher Education Standards Framework), would have benefits in supporting students across higher education settings. </w:t>
      </w:r>
    </w:p>
    <w:p w14:paraId="4DC37C25" w14:textId="6AD0FCB3" w:rsidR="00064195" w:rsidRPr="000232E7" w:rsidRDefault="002337F7" w:rsidP="00420B77">
      <w:pPr>
        <w:spacing w:after="240" w:line="276" w:lineRule="auto"/>
        <w:jc w:val="both"/>
        <w:rPr>
          <w:rFonts w:ascii="Arial" w:hAnsi="Arial" w:cs="Arial"/>
        </w:rPr>
      </w:pPr>
      <w:r w:rsidRPr="000232E7">
        <w:rPr>
          <w:rFonts w:ascii="Arial" w:hAnsi="Arial" w:cs="Arial"/>
        </w:rPr>
        <w:t xml:space="preserve">The current threshold standards only briefly </w:t>
      </w:r>
      <w:r w:rsidR="00CD4CF4" w:rsidRPr="000232E7">
        <w:rPr>
          <w:rFonts w:ascii="Arial" w:hAnsi="Arial" w:cs="Arial"/>
        </w:rPr>
        <w:t>address</w:t>
      </w:r>
      <w:r w:rsidRPr="000232E7">
        <w:rPr>
          <w:rFonts w:ascii="Arial" w:hAnsi="Arial" w:cs="Arial"/>
        </w:rPr>
        <w:t xml:space="preserve"> supports for students with disability, through section 2.2 ‘Diversity and Equity’. Following reform to the TEQSA Act, further reform in the Threshold Standards could directly address areas of access, participation and inclusion for students with disability. With these reforms and a positive duty, higher education institutions would be better aligned with the Disability Standards for </w:t>
      </w:r>
      <w:r w:rsidR="00A91497" w:rsidRPr="000232E7">
        <w:rPr>
          <w:rFonts w:ascii="Arial" w:hAnsi="Arial" w:cs="Arial"/>
        </w:rPr>
        <w:t>Education and</w:t>
      </w:r>
      <w:r w:rsidRPr="000232E7">
        <w:rPr>
          <w:rFonts w:ascii="Arial" w:hAnsi="Arial" w:cs="Arial"/>
        </w:rPr>
        <w:t xml:space="preserve"> be </w:t>
      </w:r>
      <w:r w:rsidRPr="008A4A4C">
        <w:rPr>
          <w:rFonts w:ascii="Arial" w:hAnsi="Arial" w:cs="Arial"/>
          <w:b/>
          <w:bCs/>
        </w:rPr>
        <w:t xml:space="preserve">compelled to continue to </w:t>
      </w:r>
      <w:r w:rsidR="000A2FAD">
        <w:rPr>
          <w:rFonts w:ascii="Arial" w:hAnsi="Arial" w:cs="Arial"/>
          <w:b/>
          <w:bCs/>
        </w:rPr>
        <w:t>improve</w:t>
      </w:r>
      <w:r w:rsidR="000A2FAD" w:rsidRPr="008A4A4C">
        <w:rPr>
          <w:rFonts w:ascii="Arial" w:hAnsi="Arial" w:cs="Arial"/>
          <w:b/>
          <w:bCs/>
        </w:rPr>
        <w:t xml:space="preserve"> </w:t>
      </w:r>
      <w:r w:rsidRPr="008A4A4C">
        <w:rPr>
          <w:rFonts w:ascii="Arial" w:hAnsi="Arial" w:cs="Arial"/>
          <w:b/>
          <w:bCs/>
        </w:rPr>
        <w:t>the experience of student with disability at their institution.</w:t>
      </w:r>
      <w:r w:rsidRPr="000232E7">
        <w:rPr>
          <w:rFonts w:ascii="Arial" w:hAnsi="Arial" w:cs="Arial"/>
        </w:rPr>
        <w:t xml:space="preserve"> </w:t>
      </w:r>
    </w:p>
    <w:p w14:paraId="3B84A1E6" w14:textId="77777777" w:rsidR="002337F7" w:rsidRPr="000232E7" w:rsidRDefault="002337F7" w:rsidP="00420B77">
      <w:pPr>
        <w:spacing w:line="276" w:lineRule="auto"/>
        <w:jc w:val="both"/>
        <w:rPr>
          <w:rFonts w:ascii="Arial" w:hAnsi="Arial" w:cs="Arial"/>
        </w:rPr>
      </w:pPr>
      <w:r w:rsidRPr="000232E7">
        <w:rPr>
          <w:rFonts w:ascii="Arial" w:hAnsi="Arial" w:cs="Arial"/>
        </w:rPr>
        <w:t xml:space="preserve">To further support placing students at the centre of reform, it is recommended that TEQSA mandates the </w:t>
      </w:r>
      <w:r w:rsidRPr="008A4A4C">
        <w:rPr>
          <w:rFonts w:ascii="Arial" w:hAnsi="Arial" w:cs="Arial"/>
          <w:b/>
          <w:bCs/>
        </w:rPr>
        <w:t>public disclosure of accessibility indicators</w:t>
      </w:r>
      <w:r w:rsidRPr="000232E7">
        <w:rPr>
          <w:rFonts w:ascii="Arial" w:hAnsi="Arial" w:cs="Arial"/>
        </w:rPr>
        <w:t xml:space="preserve"> to drive accountability and transparency. It is currently possible to compare Higher Education Institutions on student experience measures, skills development, and employment outcomes</w:t>
      </w:r>
      <w:r w:rsidRPr="000232E7">
        <w:rPr>
          <w:rStyle w:val="FootnoteReference"/>
          <w:rFonts w:ascii="Arial" w:hAnsi="Arial" w:cs="Arial"/>
        </w:rPr>
        <w:footnoteReference w:id="7"/>
      </w:r>
      <w:r w:rsidRPr="000232E7">
        <w:rPr>
          <w:rFonts w:ascii="Arial" w:hAnsi="Arial" w:cs="Arial"/>
        </w:rPr>
        <w:t xml:space="preserve">. An accessibility and inclusion matrix developed from a combination of student experience and performance against institutional Disability Access Plans would support students with disability to make informed decisions about their preferred institution prior to engaging in studies. </w:t>
      </w:r>
    </w:p>
    <w:p w14:paraId="1C2EA90F" w14:textId="111AA713" w:rsidR="00FB0E36" w:rsidRPr="008A5009" w:rsidRDefault="00593555" w:rsidP="00B03E8D">
      <w:pPr>
        <w:pStyle w:val="CYDABodycopy"/>
        <w:spacing w:line="276" w:lineRule="auto"/>
        <w:jc w:val="both"/>
      </w:pPr>
      <w:r w:rsidRPr="008A5009">
        <w:br w:type="page"/>
      </w:r>
    </w:p>
    <w:p w14:paraId="3613940A" w14:textId="4125943B" w:rsidR="00FB2C64" w:rsidRPr="008A5009" w:rsidRDefault="00FB2C64" w:rsidP="00420B77">
      <w:pPr>
        <w:pStyle w:val="Heading1"/>
        <w:spacing w:line="276" w:lineRule="auto"/>
        <w:rPr>
          <w:rFonts w:eastAsia="Aptos"/>
        </w:rPr>
      </w:pPr>
      <w:bookmarkStart w:id="6" w:name="_Toc211524722"/>
      <w:r w:rsidRPr="008A5009">
        <w:lastRenderedPageBreak/>
        <w:drawing>
          <wp:anchor distT="0" distB="0" distL="114300" distR="114300" simplePos="0" relativeHeight="251658252" behindDoc="1" locked="0" layoutInCell="1" allowOverlap="1" wp14:anchorId="6345D7E5" wp14:editId="0900BDB5">
            <wp:simplePos x="0" y="0"/>
            <wp:positionH relativeFrom="column">
              <wp:posOffset>5439994</wp:posOffset>
            </wp:positionH>
            <wp:positionV relativeFrom="paragraph">
              <wp:posOffset>-840359</wp:posOffset>
            </wp:positionV>
            <wp:extent cx="863600" cy="863600"/>
            <wp:effectExtent l="0" t="0" r="0" b="0"/>
            <wp:wrapNone/>
            <wp:docPr id="344788878" name="Picture 344788878"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009">
        <w:t>Part 2:</w:t>
      </w:r>
      <w:r w:rsidR="0EA0F930" w:rsidRPr="008A5009">
        <w:t xml:space="preserve"> Powers to address emerging and systemic challenges</w:t>
      </w:r>
      <w:bookmarkEnd w:id="6"/>
      <w:r w:rsidRPr="008A5009">
        <w:t xml:space="preserve"> </w:t>
      </w:r>
    </w:p>
    <w:p w14:paraId="2A71E02A" w14:textId="77777777" w:rsidR="003D494D" w:rsidRPr="008A5009" w:rsidRDefault="00FB2C64" w:rsidP="00420B77">
      <w:pPr>
        <w:pStyle w:val="Heading3"/>
        <w:spacing w:line="276" w:lineRule="auto"/>
        <w:rPr>
          <w:sz w:val="32"/>
          <w:szCs w:val="32"/>
        </w:rPr>
      </w:pPr>
      <w:bookmarkStart w:id="7" w:name="_Toc211524723"/>
      <w:r w:rsidRPr="008A5009">
        <w:t xml:space="preserve">Recommendation </w:t>
      </w:r>
      <w:r w:rsidR="000F4331" w:rsidRPr="008A5009">
        <w:t>2</w:t>
      </w:r>
      <w:r w:rsidRPr="008A5009">
        <w:t xml:space="preserve">: </w:t>
      </w:r>
      <w:r w:rsidR="0339B2F9" w:rsidRPr="008A5009">
        <w:t xml:space="preserve"> Strengthen TEQSA’s powers to enforce disability standards in higher education</w:t>
      </w:r>
      <w:bookmarkEnd w:id="7"/>
      <w:r w:rsidR="0339B2F9" w:rsidRPr="008A5009">
        <w:rPr>
          <w:sz w:val="32"/>
          <w:szCs w:val="32"/>
        </w:rPr>
        <w:t xml:space="preserve"> </w:t>
      </w:r>
    </w:p>
    <w:p w14:paraId="28231CF3" w14:textId="3541CF65" w:rsidR="00FB2C64" w:rsidRPr="008A5009" w:rsidRDefault="003D494D" w:rsidP="00420B77">
      <w:pPr>
        <w:pStyle w:val="CYDABodycopy"/>
        <w:spacing w:line="276" w:lineRule="auto"/>
        <w:rPr>
          <w:i/>
          <w:iCs/>
        </w:rPr>
      </w:pPr>
      <w:r w:rsidRPr="008A5009">
        <w:t>(</w:t>
      </w:r>
      <w:r w:rsidRPr="008A5009">
        <w:rPr>
          <w:i/>
          <w:iCs/>
        </w:rPr>
        <w:t>Response to Questions 12 &amp; 13 of the Consultation Paper)</w:t>
      </w:r>
    </w:p>
    <w:p w14:paraId="5EB9C31E" w14:textId="7507C31F" w:rsidR="616678E5" w:rsidRPr="008A5009" w:rsidRDefault="616678E5" w:rsidP="00420B77">
      <w:pPr>
        <w:pStyle w:val="CYDABodycopy"/>
        <w:spacing w:line="276" w:lineRule="auto"/>
      </w:pPr>
      <w:r w:rsidRPr="008A5009">
        <mc:AlternateContent>
          <mc:Choice Requires="wps">
            <w:drawing>
              <wp:inline distT="180340" distB="180340" distL="114300" distR="114300" wp14:anchorId="675AA260" wp14:editId="1D12A0D0">
                <wp:extent cx="5846445" cy="3114675"/>
                <wp:effectExtent l="0" t="0" r="1905" b="9525"/>
                <wp:docPr id="10757974" name="Text Box 25"/>
                <wp:cNvGraphicFramePr/>
                <a:graphic xmlns:a="http://schemas.openxmlformats.org/drawingml/2006/main">
                  <a:graphicData uri="http://schemas.microsoft.com/office/word/2010/wordprocessingShape">
                    <wps:wsp>
                      <wps:cNvSpPr/>
                      <wps:spPr>
                        <a:xfrm>
                          <a:off x="0" y="0"/>
                          <a:ext cx="5846445" cy="3114675"/>
                        </a:xfrm>
                        <a:prstGeom prst="rect">
                          <a:avLst/>
                        </a:prstGeom>
                        <a:solidFill>
                          <a:schemeClr val="accent5">
                            <a:lumMod val="20000"/>
                            <a:lumOff val="80000"/>
                          </a:schemeClr>
                        </a:solidFill>
                        <a:ln w="6350">
                          <a:noFill/>
                        </a:ln>
                      </wps:spPr>
                      <wps:txbx>
                        <w:txbxContent>
                          <w:p w14:paraId="62059D81" w14:textId="383D92C0" w:rsidR="003D494D" w:rsidRPr="008A5009" w:rsidRDefault="003D494D">
                            <w:pPr>
                              <w:pStyle w:val="ListParagraph"/>
                              <w:numPr>
                                <w:ilvl w:val="0"/>
                                <w:numId w:val="25"/>
                              </w:numPr>
                              <w:spacing w:line="276" w:lineRule="auto"/>
                              <w:rPr>
                                <w:rFonts w:ascii="Arial" w:hAnsi="Arial" w:cs="Arial"/>
                                <w:b/>
                                <w:bCs/>
                              </w:rPr>
                            </w:pPr>
                            <w:r w:rsidRPr="008A5009">
                              <w:rPr>
                                <w:rFonts w:ascii="Arial" w:hAnsi="Arial" w:cs="Arial"/>
                                <w:b/>
                                <w:bCs/>
                              </w:rPr>
                              <w:t xml:space="preserve">Require annual reporting </w:t>
                            </w:r>
                            <w:r w:rsidRPr="008A5009">
                              <w:rPr>
                                <w:rFonts w:ascii="Arial" w:hAnsi="Arial" w:cs="Arial"/>
                              </w:rPr>
                              <w:t>on institutional Disability Action Plans and outcomes achieved</w:t>
                            </w:r>
                          </w:p>
                          <w:p w14:paraId="5B9949C7" w14:textId="77777777" w:rsidR="008A5009" w:rsidRPr="008A5009" w:rsidRDefault="008A5009" w:rsidP="008A5009">
                            <w:pPr>
                              <w:pStyle w:val="ListParagraph"/>
                              <w:spacing w:line="276" w:lineRule="auto"/>
                              <w:rPr>
                                <w:rFonts w:ascii="Arial" w:hAnsi="Arial" w:cs="Arial"/>
                                <w:b/>
                                <w:bCs/>
                              </w:rPr>
                            </w:pPr>
                          </w:p>
                          <w:p w14:paraId="7C3FB793" w14:textId="23D96BE9" w:rsidR="003D494D" w:rsidRPr="008A5009" w:rsidRDefault="00090B35">
                            <w:pPr>
                              <w:pStyle w:val="ListParagraph"/>
                              <w:numPr>
                                <w:ilvl w:val="0"/>
                                <w:numId w:val="24"/>
                              </w:numPr>
                              <w:spacing w:line="276" w:lineRule="auto"/>
                              <w:rPr>
                                <w:rFonts w:ascii="Arial" w:hAnsi="Arial" w:cs="Arial"/>
                                <w:b/>
                                <w:bCs/>
                              </w:rPr>
                            </w:pPr>
                            <w:r w:rsidRPr="008A5009">
                              <w:rPr>
                                <w:rFonts w:ascii="Arial" w:hAnsi="Arial" w:cs="Arial"/>
                                <w:b/>
                                <w:bCs/>
                              </w:rPr>
                              <w:t xml:space="preserve">Embed Universal Design for Learning (UDL) </w:t>
                            </w:r>
                            <w:r w:rsidRPr="008A5009">
                              <w:rPr>
                                <w:rFonts w:ascii="Arial" w:hAnsi="Arial" w:cs="Arial"/>
                              </w:rPr>
                              <w:t>principles as a baseline requirement across all accredited courses</w:t>
                            </w:r>
                          </w:p>
                          <w:p w14:paraId="11179FCB" w14:textId="77777777" w:rsidR="008A5009" w:rsidRPr="008A5009" w:rsidRDefault="008A5009" w:rsidP="008A5009">
                            <w:pPr>
                              <w:pStyle w:val="ListParagraph"/>
                              <w:spacing w:line="276" w:lineRule="auto"/>
                              <w:rPr>
                                <w:rFonts w:ascii="Arial" w:hAnsi="Arial" w:cs="Arial"/>
                                <w:b/>
                                <w:bCs/>
                              </w:rPr>
                            </w:pPr>
                          </w:p>
                          <w:p w14:paraId="75E9F6E8" w14:textId="77777777" w:rsidR="00A46682" w:rsidRPr="008A5009" w:rsidRDefault="00090B35" w:rsidP="008A5009">
                            <w:pPr>
                              <w:pStyle w:val="ListParagraph"/>
                              <w:numPr>
                                <w:ilvl w:val="0"/>
                                <w:numId w:val="24"/>
                              </w:numPr>
                              <w:spacing w:line="276" w:lineRule="auto"/>
                              <w:rPr>
                                <w:rFonts w:ascii="Arial" w:hAnsi="Arial" w:cs="Arial"/>
                                <w:b/>
                                <w:bCs/>
                              </w:rPr>
                            </w:pPr>
                            <w:r w:rsidRPr="008A5009">
                              <w:rPr>
                                <w:rFonts w:ascii="Arial" w:hAnsi="Arial" w:cs="Arial"/>
                                <w:b/>
                                <w:bCs/>
                              </w:rPr>
                              <w:t xml:space="preserve">Grant TEQSA authority to pause </w:t>
                            </w:r>
                            <w:r w:rsidRPr="008A5009">
                              <w:rPr>
                                <w:rFonts w:ascii="Arial" w:hAnsi="Arial" w:cs="Arial"/>
                              </w:rPr>
                              <w:t>or withhold course accreditation where professional body requirements or engagement with university staff result in exclusionary pathways for students with disability</w:t>
                            </w:r>
                          </w:p>
                          <w:p w14:paraId="4ACA08E6" w14:textId="77777777" w:rsidR="003D494D" w:rsidRPr="008A5009" w:rsidRDefault="003D494D">
                            <w:pPr>
                              <w:spacing w:line="276" w:lineRule="auto"/>
                              <w:rPr>
                                <w:rFonts w:ascii="Arial" w:hAnsi="Arial" w:cs="Arial"/>
                                <w:b/>
                                <w:bCs/>
                              </w:rPr>
                            </w:pPr>
                          </w:p>
                          <w:p w14:paraId="2BB2222F" w14:textId="6C482A54" w:rsidR="00A46682" w:rsidRPr="008A5009" w:rsidRDefault="00090B35" w:rsidP="008A5009">
                            <w:pPr>
                              <w:pStyle w:val="ListParagraph"/>
                              <w:numPr>
                                <w:ilvl w:val="0"/>
                                <w:numId w:val="24"/>
                              </w:numPr>
                              <w:spacing w:line="276" w:lineRule="auto"/>
                              <w:rPr>
                                <w:rFonts w:ascii="Arial" w:hAnsi="Arial" w:cs="Arial"/>
                                <w:b/>
                                <w:bCs/>
                              </w:rPr>
                            </w:pPr>
                            <w:r w:rsidRPr="008A5009">
                              <w:rPr>
                                <w:rFonts w:ascii="Arial" w:hAnsi="Arial" w:cs="Arial"/>
                                <w:b/>
                                <w:bCs/>
                              </w:rPr>
                              <w:t xml:space="preserve">Strengthen action in response to complaints </w:t>
                            </w:r>
                            <w:r w:rsidRPr="008A5009">
                              <w:rPr>
                                <w:rFonts w:ascii="Arial" w:hAnsi="Arial" w:cs="Arial"/>
                              </w:rPr>
                              <w:t xml:space="preserve">by enabling transfer of the review, investigation and enforcement action between TEQSA, National Student Ombudsman, Department of Education and </w:t>
                            </w:r>
                            <w:r w:rsidR="006C7BC3">
                              <w:rPr>
                                <w:rFonts w:ascii="Arial" w:hAnsi="Arial" w:cs="Arial"/>
                              </w:rPr>
                              <w:t xml:space="preserve">the Australian </w:t>
                            </w:r>
                            <w:r w:rsidRPr="008A5009">
                              <w:rPr>
                                <w:rFonts w:ascii="Arial" w:hAnsi="Arial" w:cs="Arial"/>
                              </w:rPr>
                              <w:t>Human Rights Commission</w:t>
                            </w:r>
                          </w:p>
                        </w:txbxContent>
                      </wps:txbx>
                      <wps:bodyPr spcFirstLastPara="0" wrap="square" lIns="180000" tIns="0" rIns="180000" bIns="108000" anchor="ctr">
                        <a:noAutofit/>
                      </wps:bodyPr>
                    </wps:wsp>
                  </a:graphicData>
                </a:graphic>
              </wp:inline>
            </w:drawing>
          </mc:Choice>
          <mc:Fallback>
            <w:pict>
              <v:rect w14:anchorId="675AA260" id="Text Box 25" o:spid="_x0000_s1030" style="width:460.35pt;height:24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" fillcolor="#e0f1e0 [664]" stroked="f" strokeweight=".5pt">
                <v:textbox inset="5mm,0,5mm,3mm">
                  <w:txbxContent>
                    <w:p w14:paraId="62059D81" w14:textId="383D92C0" w:rsidR="003D494D" w:rsidRPr="008A5009" w:rsidRDefault="003D494D">
                      <w:pPr>
                        <w:pStyle w:val="ListParagraph"/>
                        <w:numPr>
                          <w:ilvl w:val="0"/>
                          <w:numId w:val="25"/>
                        </w:numPr>
                        <w:spacing w:line="276" w:lineRule="auto"/>
                        <w:rPr>
                          <w:rFonts w:ascii="Arial" w:hAnsi="Arial" w:cs="Arial"/>
                          <w:b/>
                          <w:bCs/>
                        </w:rPr>
                      </w:pPr>
                      <w:r w:rsidRPr="008A5009">
                        <w:rPr>
                          <w:rFonts w:ascii="Arial" w:hAnsi="Arial" w:cs="Arial"/>
                          <w:b/>
                          <w:bCs/>
                        </w:rPr>
                        <w:t xml:space="preserve">Require annual reporting </w:t>
                      </w:r>
                      <w:r w:rsidRPr="008A5009">
                        <w:rPr>
                          <w:rFonts w:ascii="Arial" w:hAnsi="Arial" w:cs="Arial"/>
                        </w:rPr>
                        <w:t>on institutional Disability Action Plans and outcomes achieved</w:t>
                      </w:r>
                    </w:p>
                    <w:p w14:paraId="5B9949C7" w14:textId="77777777" w:rsidR="008A5009" w:rsidRPr="008A5009" w:rsidRDefault="008A5009" w:rsidP="008A5009">
                      <w:pPr>
                        <w:pStyle w:val="ListParagraph"/>
                        <w:spacing w:line="276" w:lineRule="auto"/>
                        <w:rPr>
                          <w:rFonts w:ascii="Arial" w:hAnsi="Arial" w:cs="Arial"/>
                          <w:b/>
                          <w:bCs/>
                        </w:rPr>
                      </w:pPr>
                    </w:p>
                    <w:p w14:paraId="7C3FB793" w14:textId="23D96BE9" w:rsidR="003D494D" w:rsidRPr="008A5009" w:rsidRDefault="00090B35">
                      <w:pPr>
                        <w:pStyle w:val="ListParagraph"/>
                        <w:numPr>
                          <w:ilvl w:val="0"/>
                          <w:numId w:val="24"/>
                        </w:numPr>
                        <w:spacing w:line="276" w:lineRule="auto"/>
                        <w:rPr>
                          <w:rFonts w:ascii="Arial" w:hAnsi="Arial" w:cs="Arial"/>
                          <w:b/>
                          <w:bCs/>
                        </w:rPr>
                      </w:pPr>
                      <w:r w:rsidRPr="008A5009">
                        <w:rPr>
                          <w:rFonts w:ascii="Arial" w:hAnsi="Arial" w:cs="Arial"/>
                          <w:b/>
                          <w:bCs/>
                        </w:rPr>
                        <w:t xml:space="preserve">Embed Universal Design for Learning (UDL) </w:t>
                      </w:r>
                      <w:r w:rsidRPr="008A5009">
                        <w:rPr>
                          <w:rFonts w:ascii="Arial" w:hAnsi="Arial" w:cs="Arial"/>
                        </w:rPr>
                        <w:t>principles as a baseline requirement across all accredited courses</w:t>
                      </w:r>
                    </w:p>
                    <w:p w14:paraId="11179FCB" w14:textId="77777777" w:rsidR="008A5009" w:rsidRPr="008A5009" w:rsidRDefault="008A5009" w:rsidP="008A5009">
                      <w:pPr>
                        <w:pStyle w:val="ListParagraph"/>
                        <w:spacing w:line="276" w:lineRule="auto"/>
                        <w:rPr>
                          <w:rFonts w:ascii="Arial" w:hAnsi="Arial" w:cs="Arial"/>
                          <w:b/>
                          <w:bCs/>
                        </w:rPr>
                      </w:pPr>
                    </w:p>
                    <w:p w14:paraId="75E9F6E8" w14:textId="77777777" w:rsidR="00A46682" w:rsidRPr="008A5009" w:rsidRDefault="00090B35" w:rsidP="008A5009">
                      <w:pPr>
                        <w:pStyle w:val="ListParagraph"/>
                        <w:numPr>
                          <w:ilvl w:val="0"/>
                          <w:numId w:val="24"/>
                        </w:numPr>
                        <w:spacing w:line="276" w:lineRule="auto"/>
                        <w:rPr>
                          <w:rFonts w:ascii="Arial" w:hAnsi="Arial" w:cs="Arial"/>
                          <w:b/>
                          <w:bCs/>
                        </w:rPr>
                      </w:pPr>
                      <w:r w:rsidRPr="008A5009">
                        <w:rPr>
                          <w:rFonts w:ascii="Arial" w:hAnsi="Arial" w:cs="Arial"/>
                          <w:b/>
                          <w:bCs/>
                        </w:rPr>
                        <w:t xml:space="preserve">Grant TEQSA authority to pause </w:t>
                      </w:r>
                      <w:r w:rsidRPr="008A5009">
                        <w:rPr>
                          <w:rFonts w:ascii="Arial" w:hAnsi="Arial" w:cs="Arial"/>
                        </w:rPr>
                        <w:t>or withhold course accreditation where professional body requirements or engagement with university staff result in exclusionary pathways for students with disability</w:t>
                      </w:r>
                    </w:p>
                    <w:p w14:paraId="4ACA08E6" w14:textId="77777777" w:rsidR="003D494D" w:rsidRPr="008A5009" w:rsidRDefault="003D494D">
                      <w:pPr>
                        <w:spacing w:line="276" w:lineRule="auto"/>
                        <w:rPr>
                          <w:rFonts w:ascii="Arial" w:hAnsi="Arial" w:cs="Arial"/>
                          <w:b/>
                          <w:bCs/>
                        </w:rPr>
                      </w:pPr>
                    </w:p>
                    <w:p w14:paraId="2BB2222F" w14:textId="6C482A54" w:rsidR="00A46682" w:rsidRPr="008A5009" w:rsidRDefault="00090B35" w:rsidP="008A5009">
                      <w:pPr>
                        <w:pStyle w:val="ListParagraph"/>
                        <w:numPr>
                          <w:ilvl w:val="0"/>
                          <w:numId w:val="24"/>
                        </w:numPr>
                        <w:spacing w:line="276" w:lineRule="auto"/>
                        <w:rPr>
                          <w:rFonts w:ascii="Arial" w:hAnsi="Arial" w:cs="Arial"/>
                          <w:b/>
                          <w:bCs/>
                        </w:rPr>
                      </w:pPr>
                      <w:r w:rsidRPr="008A5009">
                        <w:rPr>
                          <w:rFonts w:ascii="Arial" w:hAnsi="Arial" w:cs="Arial"/>
                          <w:b/>
                          <w:bCs/>
                        </w:rPr>
                        <w:t xml:space="preserve">Strengthen action in response to complaints </w:t>
                      </w:r>
                      <w:r w:rsidRPr="008A5009">
                        <w:rPr>
                          <w:rFonts w:ascii="Arial" w:hAnsi="Arial" w:cs="Arial"/>
                        </w:rPr>
                        <w:t xml:space="preserve">by enabling transfer of the review, investigation and enforcement action between TEQSA, National Student Ombudsman, Department of Education and </w:t>
                      </w:r>
                      <w:r w:rsidR="006C7BC3">
                        <w:rPr>
                          <w:rFonts w:ascii="Arial" w:hAnsi="Arial" w:cs="Arial"/>
                        </w:rPr>
                        <w:t xml:space="preserve">the Australian </w:t>
                      </w:r>
                      <w:r w:rsidRPr="008A5009">
                        <w:rPr>
                          <w:rFonts w:ascii="Arial" w:hAnsi="Arial" w:cs="Arial"/>
                        </w:rPr>
                        <w:t>Human Rights Commission</w:t>
                      </w:r>
                    </w:p>
                  </w:txbxContent>
                </v:textbox>
                <w10:anchorlock/>
              </v:rect>
            </w:pict>
          </mc:Fallback>
        </mc:AlternateContent>
      </w:r>
    </w:p>
    <w:p w14:paraId="1F4E263C" w14:textId="6CB0716D" w:rsidR="002D2C92" w:rsidRPr="008A35E5" w:rsidRDefault="0EC1470D" w:rsidP="00420B77">
      <w:pPr>
        <w:spacing w:after="160" w:line="276" w:lineRule="auto"/>
        <w:jc w:val="both"/>
        <w:rPr>
          <w:rFonts w:ascii="Arial" w:eastAsia="Aptos" w:hAnsi="Arial" w:cs="Arial"/>
        </w:rPr>
      </w:pPr>
      <w:r w:rsidRPr="008A5009">
        <w:rPr>
          <w:rFonts w:ascii="Arial" w:eastAsia="Aptos" w:hAnsi="Arial" w:cs="Arial"/>
        </w:rPr>
        <w:t xml:space="preserve">The Disability Standards for Education (DSE) are currently not overseen or enforced across the higher education sector by any one regulatory body. </w:t>
      </w:r>
      <w:r w:rsidR="00A77509">
        <w:rPr>
          <w:rFonts w:ascii="Arial" w:eastAsia="Aptos" w:hAnsi="Arial" w:cs="Arial"/>
        </w:rPr>
        <w:t>T</w:t>
      </w:r>
      <w:r w:rsidRPr="008A5009">
        <w:rPr>
          <w:rFonts w:ascii="Arial" w:eastAsia="Aptos" w:hAnsi="Arial" w:cs="Arial"/>
        </w:rPr>
        <w:t xml:space="preserve">he implementation and monitoring of the DSE </w:t>
      </w:r>
      <w:r w:rsidR="00A77509">
        <w:rPr>
          <w:rFonts w:ascii="Arial" w:eastAsia="Aptos" w:hAnsi="Arial" w:cs="Arial"/>
        </w:rPr>
        <w:t xml:space="preserve">should </w:t>
      </w:r>
      <w:r w:rsidRPr="008A5009">
        <w:rPr>
          <w:rFonts w:ascii="Arial" w:eastAsia="Aptos" w:hAnsi="Arial" w:cs="Arial"/>
        </w:rPr>
        <w:t xml:space="preserve">sit with </w:t>
      </w:r>
      <w:r w:rsidR="004563C2">
        <w:rPr>
          <w:rFonts w:ascii="Arial" w:eastAsia="Aptos" w:hAnsi="Arial" w:cs="Arial"/>
        </w:rPr>
        <w:t xml:space="preserve">TEQSA as </w:t>
      </w:r>
      <w:r w:rsidRPr="008A5009">
        <w:rPr>
          <w:rFonts w:ascii="Arial" w:eastAsia="Aptos" w:hAnsi="Arial" w:cs="Arial"/>
        </w:rPr>
        <w:t>the sector</w:t>
      </w:r>
      <w:r w:rsidR="009A02E1">
        <w:rPr>
          <w:rFonts w:ascii="Arial" w:eastAsia="Aptos" w:hAnsi="Arial" w:cs="Arial"/>
        </w:rPr>
        <w:t>’</w:t>
      </w:r>
      <w:r w:rsidRPr="008A5009">
        <w:rPr>
          <w:rFonts w:ascii="Arial" w:eastAsia="Aptos" w:hAnsi="Arial" w:cs="Arial"/>
        </w:rPr>
        <w:t xml:space="preserve">s quality and standards agency. </w:t>
      </w:r>
    </w:p>
    <w:p w14:paraId="400382A2" w14:textId="77777777" w:rsidR="00F27D5F" w:rsidRDefault="0EC1470D" w:rsidP="00420B77">
      <w:pPr>
        <w:spacing w:after="160" w:line="276" w:lineRule="auto"/>
        <w:jc w:val="both"/>
        <w:rPr>
          <w:rFonts w:ascii="Arial" w:eastAsia="Aptos" w:hAnsi="Arial" w:cs="Arial"/>
        </w:rPr>
      </w:pPr>
      <w:r w:rsidRPr="008A5009">
        <w:rPr>
          <w:rFonts w:ascii="Arial" w:eastAsia="Aptos" w:hAnsi="Arial" w:cs="Arial"/>
        </w:rPr>
        <w:t>Two suggested avenues for ensuring implementation and ongoing adherence to the DSE are as follows</w:t>
      </w:r>
      <w:r w:rsidR="005E0413">
        <w:rPr>
          <w:rFonts w:ascii="Arial" w:eastAsia="Aptos" w:hAnsi="Arial" w:cs="Arial"/>
        </w:rPr>
        <w:t>:</w:t>
      </w:r>
      <w:r w:rsidRPr="008A5009">
        <w:rPr>
          <w:rFonts w:ascii="Arial" w:eastAsia="Aptos" w:hAnsi="Arial" w:cs="Arial"/>
        </w:rPr>
        <w:t xml:space="preserve"> </w:t>
      </w:r>
    </w:p>
    <w:p w14:paraId="4C96DBDB" w14:textId="5F5B8227" w:rsidR="002D2C92" w:rsidRDefault="00F27D5F" w:rsidP="00420B77">
      <w:pPr>
        <w:pStyle w:val="ListParagraph"/>
        <w:numPr>
          <w:ilvl w:val="0"/>
          <w:numId w:val="30"/>
        </w:numPr>
        <w:spacing w:after="160" w:line="276" w:lineRule="auto"/>
        <w:jc w:val="both"/>
        <w:rPr>
          <w:rFonts w:ascii="Arial" w:eastAsia="Aptos" w:hAnsi="Arial" w:cs="Arial"/>
        </w:rPr>
      </w:pPr>
      <w:r>
        <w:rPr>
          <w:rFonts w:ascii="Arial" w:eastAsia="Aptos" w:hAnsi="Arial" w:cs="Arial"/>
        </w:rPr>
        <w:t>First</w:t>
      </w:r>
      <w:r w:rsidR="007C7691">
        <w:rPr>
          <w:rFonts w:ascii="Arial" w:eastAsia="Aptos" w:hAnsi="Arial" w:cs="Arial"/>
        </w:rPr>
        <w:t>, a r</w:t>
      </w:r>
      <w:r w:rsidR="0EC1470D" w:rsidRPr="007C7691">
        <w:rPr>
          <w:rFonts w:ascii="Arial" w:eastAsia="Aptos" w:hAnsi="Arial" w:cs="Arial"/>
        </w:rPr>
        <w:t>equirement from TEQSA of reporting from registered institutions regarding the progress and outcomes of the institution</w:t>
      </w:r>
      <w:r w:rsidR="009A02E1" w:rsidRPr="007C7691">
        <w:rPr>
          <w:rFonts w:ascii="Arial" w:eastAsia="Aptos" w:hAnsi="Arial" w:cs="Arial"/>
        </w:rPr>
        <w:t>’</w:t>
      </w:r>
      <w:r w:rsidR="0EC1470D" w:rsidRPr="007C7691">
        <w:rPr>
          <w:rFonts w:ascii="Arial" w:eastAsia="Aptos" w:hAnsi="Arial" w:cs="Arial"/>
        </w:rPr>
        <w:t xml:space="preserve">s Disability Action Plan. </w:t>
      </w:r>
    </w:p>
    <w:p w14:paraId="36E5C9AF" w14:textId="6B61AF0C" w:rsidR="0006339B" w:rsidRPr="008C697F" w:rsidRDefault="007C7691" w:rsidP="00420B77">
      <w:pPr>
        <w:pStyle w:val="ListParagraph"/>
        <w:numPr>
          <w:ilvl w:val="0"/>
          <w:numId w:val="30"/>
        </w:numPr>
        <w:spacing w:after="160" w:line="276" w:lineRule="auto"/>
        <w:jc w:val="both"/>
        <w:rPr>
          <w:rFonts w:ascii="Arial" w:hAnsi="Arial" w:cs="Arial"/>
        </w:rPr>
      </w:pPr>
      <w:r>
        <w:rPr>
          <w:rFonts w:ascii="Arial" w:eastAsia="Aptos" w:hAnsi="Arial" w:cs="Arial"/>
        </w:rPr>
        <w:t>Second, r</w:t>
      </w:r>
      <w:r w:rsidR="009A1E1C" w:rsidRPr="007C7691">
        <w:rPr>
          <w:rFonts w:ascii="Arial" w:eastAsia="Aptos" w:hAnsi="Arial" w:cs="Arial"/>
        </w:rPr>
        <w:t>eforms</w:t>
      </w:r>
      <w:r w:rsidR="0EC1470D" w:rsidRPr="007C7691">
        <w:rPr>
          <w:rFonts w:ascii="Arial" w:eastAsia="Aptos" w:hAnsi="Arial" w:cs="Arial"/>
        </w:rPr>
        <w:t xml:space="preserve"> to the TEQSA Act requiring Positive Duty Threshold Standards </w:t>
      </w:r>
      <w:r w:rsidR="008459F4" w:rsidRPr="007C7691">
        <w:rPr>
          <w:rFonts w:ascii="Arial" w:eastAsia="Aptos" w:hAnsi="Arial" w:cs="Arial"/>
        </w:rPr>
        <w:t xml:space="preserve">to </w:t>
      </w:r>
      <w:r w:rsidR="0EC1470D" w:rsidRPr="007C7691">
        <w:rPr>
          <w:rFonts w:ascii="Arial" w:eastAsia="Aptos" w:hAnsi="Arial" w:cs="Arial"/>
        </w:rPr>
        <w:t>be upheld</w:t>
      </w:r>
      <w:r w:rsidR="009A1E1C" w:rsidRPr="007C7691">
        <w:rPr>
          <w:rFonts w:ascii="Arial" w:eastAsia="Aptos" w:hAnsi="Arial" w:cs="Arial"/>
        </w:rPr>
        <w:t xml:space="preserve"> would also support implementation and adherence to the DSE</w:t>
      </w:r>
      <w:r w:rsidR="0EC1470D" w:rsidRPr="007C7691">
        <w:rPr>
          <w:rFonts w:ascii="Arial" w:eastAsia="Aptos" w:hAnsi="Arial" w:cs="Arial"/>
        </w:rPr>
        <w:t>. Standards</w:t>
      </w:r>
      <w:r w:rsidR="008C4DF5" w:rsidRPr="007C7691">
        <w:rPr>
          <w:rFonts w:ascii="Arial" w:eastAsia="Aptos" w:hAnsi="Arial" w:cs="Arial"/>
        </w:rPr>
        <w:t xml:space="preserve"> that</w:t>
      </w:r>
      <w:r w:rsidR="0EC1470D" w:rsidRPr="007C7691">
        <w:rPr>
          <w:rFonts w:ascii="Arial" w:eastAsia="Aptos" w:hAnsi="Arial" w:cs="Arial"/>
        </w:rPr>
        <w:t xml:space="preserve"> support</w:t>
      </w:r>
      <w:r w:rsidR="008C4DF5" w:rsidRPr="007C7691">
        <w:rPr>
          <w:rFonts w:ascii="Arial" w:eastAsia="Aptos" w:hAnsi="Arial" w:cs="Arial"/>
        </w:rPr>
        <w:t xml:space="preserve"> </w:t>
      </w:r>
      <w:r w:rsidR="0EC1470D" w:rsidRPr="007C7691">
        <w:rPr>
          <w:rFonts w:ascii="Arial" w:eastAsia="Aptos" w:hAnsi="Arial" w:cs="Arial"/>
        </w:rPr>
        <w:t xml:space="preserve">students with a disability to access and engage in all areas of student life, and subsequent systemic change to course delivery to </w:t>
      </w:r>
      <w:r w:rsidR="008A4A4C" w:rsidRPr="007C7691">
        <w:rPr>
          <w:rFonts w:ascii="Arial" w:eastAsia="Aptos" w:hAnsi="Arial" w:cs="Arial"/>
        </w:rPr>
        <w:t>supporting this</w:t>
      </w:r>
      <w:r w:rsidR="0EC1470D" w:rsidRPr="007C7691">
        <w:rPr>
          <w:rFonts w:ascii="Arial" w:eastAsia="Aptos" w:hAnsi="Arial" w:cs="Arial"/>
        </w:rPr>
        <w:t xml:space="preserve">. </w:t>
      </w:r>
      <w:r w:rsidR="0EC1470D" w:rsidRPr="007C7691">
        <w:rPr>
          <w:rFonts w:ascii="Arial" w:eastAsia="Aptos" w:hAnsi="Arial" w:cs="Arial"/>
          <w:b/>
          <w:bCs/>
        </w:rPr>
        <w:t xml:space="preserve">Embedding the principles of universal design for learning </w:t>
      </w:r>
      <w:r w:rsidR="0EC1470D" w:rsidRPr="007C7691">
        <w:rPr>
          <w:rFonts w:ascii="Arial" w:eastAsia="Aptos" w:hAnsi="Arial" w:cs="Arial"/>
          <w:b/>
          <w:bCs/>
        </w:rPr>
        <w:lastRenderedPageBreak/>
        <w:t>(UDL)</w:t>
      </w:r>
      <w:r w:rsidR="0EC1470D" w:rsidRPr="007C7691">
        <w:rPr>
          <w:rFonts w:ascii="Arial" w:eastAsia="Aptos" w:hAnsi="Arial" w:cs="Arial"/>
        </w:rPr>
        <w:t xml:space="preserve"> as a baseline requirement for all accredited courses has the additional benefit of being supportive of the entire student cohort. </w:t>
      </w:r>
      <w:r w:rsidR="002414D2" w:rsidRPr="008A5009">
        <w:rPr>
          <w:rStyle w:val="FootnoteReference"/>
          <w:rFonts w:ascii="Arial" w:eastAsia="Aptos" w:hAnsi="Arial" w:cs="Arial"/>
        </w:rPr>
        <w:footnoteReference w:id="8"/>
      </w:r>
    </w:p>
    <w:p w14:paraId="6E2A288D" w14:textId="0C73E217" w:rsidR="0006339B" w:rsidRPr="008A4A4C" w:rsidRDefault="0EC1470D" w:rsidP="00420B77">
      <w:pPr>
        <w:spacing w:after="160" w:line="276" w:lineRule="auto"/>
        <w:jc w:val="both"/>
        <w:rPr>
          <w:rFonts w:ascii="Arial" w:hAnsi="Arial" w:cs="Arial"/>
          <w:b/>
          <w:bCs/>
        </w:rPr>
      </w:pPr>
      <w:r w:rsidRPr="008A5009">
        <w:rPr>
          <w:rFonts w:ascii="Arial" w:eastAsia="Aptos" w:hAnsi="Arial" w:cs="Arial"/>
        </w:rPr>
        <w:t>Embedding</w:t>
      </w:r>
      <w:r w:rsidR="008A4A4C">
        <w:rPr>
          <w:rFonts w:ascii="Arial" w:eastAsia="Aptos" w:hAnsi="Arial" w:cs="Arial"/>
        </w:rPr>
        <w:t xml:space="preserve"> UDL</w:t>
      </w:r>
      <w:r w:rsidRPr="008A5009">
        <w:rPr>
          <w:rFonts w:ascii="Arial" w:eastAsia="Aptos" w:hAnsi="Arial" w:cs="Arial"/>
        </w:rPr>
        <w:t xml:space="preserve"> within course delivery will </w:t>
      </w:r>
      <w:r w:rsidRPr="008A4A4C">
        <w:rPr>
          <w:rFonts w:ascii="Arial" w:eastAsia="Aptos" w:hAnsi="Arial" w:cs="Arial"/>
          <w:b/>
          <w:bCs/>
        </w:rPr>
        <w:t>improve efficiency of delivery</w:t>
      </w:r>
      <w:r w:rsidRPr="008A5009">
        <w:rPr>
          <w:rFonts w:ascii="Arial" w:eastAsia="Aptos" w:hAnsi="Arial" w:cs="Arial"/>
        </w:rPr>
        <w:t xml:space="preserve">, enabling students to engage with course content in the way that best suits their learning, and has the potential to reduce the need for additional, often costly adjustments and accommodations </w:t>
      </w:r>
      <w:r w:rsidR="004E3796">
        <w:rPr>
          <w:rFonts w:ascii="Arial" w:eastAsia="Aptos" w:hAnsi="Arial" w:cs="Arial"/>
        </w:rPr>
        <w:t>by removing</w:t>
      </w:r>
      <w:r w:rsidRPr="008A4A4C">
        <w:rPr>
          <w:rFonts w:ascii="Arial" w:eastAsia="Aptos" w:hAnsi="Arial" w:cs="Arial"/>
          <w:b/>
          <w:bCs/>
        </w:rPr>
        <w:t xml:space="preserve"> existing barriers</w:t>
      </w:r>
      <w:r w:rsidRPr="008A5009">
        <w:rPr>
          <w:rFonts w:ascii="Arial" w:eastAsia="Aptos" w:hAnsi="Arial" w:cs="Arial"/>
        </w:rPr>
        <w:t xml:space="preserve"> to participation within the course delivery. Investment in courses to provide more accessible engagement with content is </w:t>
      </w:r>
      <w:r w:rsidRPr="008A4A4C">
        <w:rPr>
          <w:rFonts w:ascii="Arial" w:eastAsia="Aptos" w:hAnsi="Arial" w:cs="Arial"/>
          <w:b/>
          <w:bCs/>
        </w:rPr>
        <w:t xml:space="preserve">not only beneficial to all </w:t>
      </w:r>
      <w:r w:rsidR="008C697F" w:rsidRPr="008A4A4C">
        <w:rPr>
          <w:rFonts w:ascii="Arial" w:eastAsia="Aptos" w:hAnsi="Arial" w:cs="Arial"/>
          <w:b/>
          <w:bCs/>
        </w:rPr>
        <w:t>students but</w:t>
      </w:r>
      <w:r w:rsidRPr="008A4A4C">
        <w:rPr>
          <w:rFonts w:ascii="Arial" w:eastAsia="Aptos" w:hAnsi="Arial" w:cs="Arial"/>
          <w:b/>
          <w:bCs/>
        </w:rPr>
        <w:t xml:space="preserve"> may also be a cost-saving measure </w:t>
      </w:r>
      <w:r w:rsidRPr="008A4A4C">
        <w:rPr>
          <w:rFonts w:ascii="Arial" w:eastAsia="Aptos" w:hAnsi="Arial" w:cs="Arial"/>
        </w:rPr>
        <w:t>over time.</w:t>
      </w:r>
      <w:r w:rsidR="00B87177" w:rsidRPr="008A4A4C">
        <w:rPr>
          <w:rStyle w:val="FootnoteReference"/>
          <w:rFonts w:ascii="Arial" w:eastAsia="Aptos" w:hAnsi="Arial" w:cs="Arial"/>
        </w:rPr>
        <w:footnoteReference w:id="9"/>
      </w:r>
      <w:r w:rsidR="00B87177" w:rsidRPr="008A4A4C">
        <w:rPr>
          <w:rFonts w:ascii="Arial" w:hAnsi="Arial" w:cs="Arial"/>
          <w:b/>
          <w:bCs/>
        </w:rPr>
        <w:t xml:space="preserve"> </w:t>
      </w:r>
    </w:p>
    <w:p w14:paraId="6ACEFCCE" w14:textId="4D5A6160" w:rsidR="008A35E5" w:rsidRDefault="007C7691" w:rsidP="00420B77">
      <w:pPr>
        <w:spacing w:after="160" w:line="276" w:lineRule="auto"/>
        <w:jc w:val="both"/>
        <w:rPr>
          <w:rFonts w:ascii="Arial" w:eastAsia="Aptos" w:hAnsi="Arial" w:cs="Arial"/>
        </w:rPr>
      </w:pPr>
      <w:r>
        <w:rPr>
          <w:rFonts w:ascii="Arial" w:eastAsia="Aptos" w:hAnsi="Arial" w:cs="Arial"/>
        </w:rPr>
        <w:t>CYDA recommends</w:t>
      </w:r>
      <w:r w:rsidR="0EC1470D" w:rsidRPr="008A5009">
        <w:rPr>
          <w:rFonts w:ascii="Arial" w:eastAsia="Aptos" w:hAnsi="Arial" w:cs="Arial"/>
        </w:rPr>
        <w:t xml:space="preserve"> that the TEQSA A</w:t>
      </w:r>
      <w:r w:rsidR="00FE6D4C">
        <w:rPr>
          <w:rFonts w:ascii="Arial" w:eastAsia="Aptos" w:hAnsi="Arial" w:cs="Arial"/>
        </w:rPr>
        <w:t>ct</w:t>
      </w:r>
      <w:r w:rsidR="0EC1470D" w:rsidRPr="008A5009">
        <w:rPr>
          <w:rFonts w:ascii="Arial" w:eastAsia="Aptos" w:hAnsi="Arial" w:cs="Arial"/>
        </w:rPr>
        <w:t xml:space="preserve"> is broadened to enable transfer of the review, investigation and enforcement action between TEQSA, National Student Ombudsman (NSO), Department of Education and </w:t>
      </w:r>
      <w:r w:rsidR="00AA0758">
        <w:rPr>
          <w:rFonts w:ascii="Arial" w:eastAsia="Aptos" w:hAnsi="Arial" w:cs="Arial"/>
        </w:rPr>
        <w:t xml:space="preserve">the Australian </w:t>
      </w:r>
      <w:r w:rsidR="0EC1470D" w:rsidRPr="008A5009">
        <w:rPr>
          <w:rFonts w:ascii="Arial" w:eastAsia="Aptos" w:hAnsi="Arial" w:cs="Arial"/>
        </w:rPr>
        <w:t xml:space="preserve">Human Rights Commission. </w:t>
      </w:r>
      <w:r w:rsidR="00B020C8">
        <w:rPr>
          <w:rFonts w:ascii="Arial" w:eastAsia="Aptos" w:hAnsi="Arial" w:cs="Arial"/>
        </w:rPr>
        <w:t xml:space="preserve">We recommend </w:t>
      </w:r>
      <w:r w:rsidR="00C35038">
        <w:rPr>
          <w:rFonts w:ascii="Arial" w:eastAsia="Aptos" w:hAnsi="Arial" w:cs="Arial"/>
        </w:rPr>
        <w:t>the</w:t>
      </w:r>
      <w:r w:rsidR="00C61A10">
        <w:rPr>
          <w:rFonts w:ascii="Arial" w:eastAsia="Aptos" w:hAnsi="Arial" w:cs="Arial"/>
        </w:rPr>
        <w:t xml:space="preserve"> </w:t>
      </w:r>
      <w:r w:rsidR="0EC1470D" w:rsidRPr="008A5009">
        <w:rPr>
          <w:rFonts w:ascii="Arial" w:eastAsia="Aptos" w:hAnsi="Arial" w:cs="Arial"/>
        </w:rPr>
        <w:t xml:space="preserve">addition of specific provisions to the </w:t>
      </w:r>
      <w:r w:rsidR="00AA0758">
        <w:rPr>
          <w:rFonts w:ascii="Arial" w:eastAsia="Aptos" w:hAnsi="Arial" w:cs="Arial"/>
        </w:rPr>
        <w:t>TEQSA A</w:t>
      </w:r>
      <w:r w:rsidR="0EC1470D" w:rsidRPr="008A5009">
        <w:rPr>
          <w:rFonts w:ascii="Arial" w:eastAsia="Aptos" w:hAnsi="Arial" w:cs="Arial"/>
        </w:rPr>
        <w:t>ct that address the needs of students with disability as enshrined in the Disability Discrimination Act 1992 (DDA)</w:t>
      </w:r>
      <w:r w:rsidR="00D43C8E">
        <w:rPr>
          <w:rFonts w:ascii="Arial" w:eastAsia="Aptos" w:hAnsi="Arial" w:cs="Arial"/>
        </w:rPr>
        <w:t>.</w:t>
      </w:r>
      <w:r w:rsidR="00B87177" w:rsidRPr="008A5009">
        <w:rPr>
          <w:rStyle w:val="FootnoteReference"/>
          <w:rFonts w:ascii="Arial" w:eastAsia="Aptos" w:hAnsi="Arial" w:cs="Arial"/>
        </w:rPr>
        <w:footnoteReference w:id="10"/>
      </w:r>
    </w:p>
    <w:p w14:paraId="3DF80E55" w14:textId="6C2B1B87" w:rsidR="0006339B" w:rsidRPr="008A5009" w:rsidRDefault="00866D34" w:rsidP="00420B77">
      <w:pPr>
        <w:spacing w:before="240" w:after="160" w:line="276" w:lineRule="auto"/>
        <w:ind w:left="720"/>
        <w:rPr>
          <w:rFonts w:ascii="Arial" w:hAnsi="Arial" w:cs="Arial"/>
        </w:rPr>
      </w:pPr>
      <w:r w:rsidRPr="008A5009">
        <w:rPr>
          <w:rFonts w:ascii="Arial" w:hAnsi="Arial" w:cs="Arial"/>
          <w:i/>
          <w:iCs/>
          <w:color w:val="419845" w:themeColor="accent5" w:themeShade="BF"/>
        </w:rPr>
        <w:t>“Don't make accommodations for students, assume that</w:t>
      </w:r>
      <w:r w:rsidR="00EC28C3">
        <w:rPr>
          <w:rFonts w:ascii="Arial" w:hAnsi="Arial" w:cs="Arial"/>
          <w:i/>
          <w:iCs/>
          <w:color w:val="419845" w:themeColor="accent5" w:themeShade="BF"/>
        </w:rPr>
        <w:t>…</w:t>
      </w:r>
      <w:r w:rsidRPr="008A5009">
        <w:rPr>
          <w:rFonts w:ascii="Arial" w:hAnsi="Arial" w:cs="Arial"/>
          <w:i/>
          <w:iCs/>
          <w:color w:val="419845" w:themeColor="accent5" w:themeShade="BF"/>
        </w:rPr>
        <w:t xml:space="preserve">students </w:t>
      </w:r>
      <w:r w:rsidR="00EC28C3">
        <w:rPr>
          <w:rFonts w:ascii="Arial" w:hAnsi="Arial" w:cs="Arial"/>
          <w:i/>
          <w:iCs/>
          <w:color w:val="419845" w:themeColor="accent5" w:themeShade="BF"/>
        </w:rPr>
        <w:t>(with disability)</w:t>
      </w:r>
      <w:r w:rsidRPr="008A5009">
        <w:rPr>
          <w:rFonts w:ascii="Arial" w:hAnsi="Arial" w:cs="Arial"/>
          <w:i/>
          <w:iCs/>
          <w:color w:val="419845" w:themeColor="accent5" w:themeShade="BF"/>
        </w:rPr>
        <w:t xml:space="preserve"> are going to almost definitely be in those classes. And make it just a part. Always have captions on. Always have signage. Just assume we’re going to be there”</w:t>
      </w:r>
      <w:r w:rsidR="00C60301">
        <w:rPr>
          <w:rFonts w:ascii="Arial" w:hAnsi="Arial" w:cs="Arial"/>
          <w:i/>
          <w:iCs/>
          <w:color w:val="419845" w:themeColor="accent5" w:themeShade="BF"/>
        </w:rPr>
        <w:t xml:space="preserve"> (YPWD, </w:t>
      </w:r>
      <w:proofErr w:type="spellStart"/>
      <w:r w:rsidR="00C60301">
        <w:rPr>
          <w:rFonts w:ascii="Arial" w:hAnsi="Arial" w:cs="Arial"/>
          <w:i/>
          <w:iCs/>
          <w:color w:val="419845" w:themeColor="accent5" w:themeShade="BF"/>
        </w:rPr>
        <w:t>LivedX</w:t>
      </w:r>
      <w:proofErr w:type="spellEnd"/>
      <w:r w:rsidR="00C60301">
        <w:rPr>
          <w:rFonts w:ascii="Arial" w:hAnsi="Arial" w:cs="Arial"/>
          <w:i/>
          <w:iCs/>
          <w:color w:val="419845" w:themeColor="accent5" w:themeShade="BF"/>
        </w:rPr>
        <w:t xml:space="preserve"> Series)</w:t>
      </w:r>
      <w:r w:rsidR="002F339A" w:rsidRPr="008A5009">
        <w:rPr>
          <w:rStyle w:val="FootnoteReference"/>
          <w:rFonts w:ascii="Arial" w:hAnsi="Arial" w:cs="Arial"/>
          <w:i/>
          <w:iCs/>
          <w:color w:val="419845" w:themeColor="accent5" w:themeShade="BF"/>
        </w:rPr>
        <w:footnoteReference w:id="11"/>
      </w:r>
    </w:p>
    <w:p w14:paraId="6322F5C4" w14:textId="77C87AA7" w:rsidR="00282BDA" w:rsidRPr="009A1653" w:rsidRDefault="00FD70A7" w:rsidP="00420B77">
      <w:pPr>
        <w:spacing w:before="240" w:line="276" w:lineRule="auto"/>
        <w:jc w:val="both"/>
        <w:rPr>
          <w:rFonts w:ascii="Arial" w:hAnsi="Arial" w:cs="Arial"/>
        </w:rPr>
      </w:pPr>
      <w:r w:rsidRPr="009A1653">
        <w:rPr>
          <w:rFonts w:ascii="Arial" w:hAnsi="Arial" w:cs="Arial"/>
          <w:b/>
          <w:bCs/>
        </w:rPr>
        <w:t xml:space="preserve">Grant TEQSA authority to pause </w:t>
      </w:r>
      <w:r w:rsidRPr="009A1653">
        <w:rPr>
          <w:rFonts w:ascii="Arial" w:hAnsi="Arial" w:cs="Arial"/>
        </w:rPr>
        <w:t xml:space="preserve">or withhold course accreditation where professional body requirements or engagement with university staff result in </w:t>
      </w:r>
      <w:r w:rsidRPr="009A1653">
        <w:rPr>
          <w:rFonts w:ascii="Arial" w:hAnsi="Arial" w:cs="Arial"/>
          <w:b/>
          <w:bCs/>
        </w:rPr>
        <w:t>exclusionary pathways for students with disability</w:t>
      </w:r>
      <w:r w:rsidR="00F44AC4" w:rsidRPr="009A1653">
        <w:rPr>
          <w:rFonts w:ascii="Arial" w:hAnsi="Arial" w:cs="Arial"/>
        </w:rPr>
        <w:t xml:space="preserve">. </w:t>
      </w:r>
    </w:p>
    <w:p w14:paraId="376745B3" w14:textId="04E57254" w:rsidR="00FD70A7" w:rsidRPr="009A1653" w:rsidRDefault="00EA7A16" w:rsidP="00420B77">
      <w:pPr>
        <w:spacing w:before="240" w:line="276" w:lineRule="auto"/>
        <w:jc w:val="both"/>
        <w:rPr>
          <w:rFonts w:ascii="Arial" w:hAnsi="Arial" w:cs="Arial"/>
        </w:rPr>
      </w:pPr>
      <w:r w:rsidRPr="009A1653">
        <w:rPr>
          <w:rFonts w:ascii="Arial" w:hAnsi="Arial" w:cs="Arial"/>
        </w:rPr>
        <w:t xml:space="preserve">Australian university disability practitioners have long been aware of </w:t>
      </w:r>
      <w:r w:rsidR="00F82297" w:rsidRPr="009A1653">
        <w:rPr>
          <w:rFonts w:ascii="Arial" w:hAnsi="Arial" w:cs="Arial"/>
        </w:rPr>
        <w:t xml:space="preserve">exclusionary pathways and practices that have been </w:t>
      </w:r>
      <w:r w:rsidR="00CE4F1D" w:rsidRPr="009A1653">
        <w:rPr>
          <w:rFonts w:ascii="Arial" w:hAnsi="Arial" w:cs="Arial"/>
        </w:rPr>
        <w:t>implemented in</w:t>
      </w:r>
      <w:r w:rsidR="00F82297" w:rsidRPr="009A1653">
        <w:rPr>
          <w:rFonts w:ascii="Arial" w:hAnsi="Arial" w:cs="Arial"/>
        </w:rPr>
        <w:t xml:space="preserve"> higher education system</w:t>
      </w:r>
      <w:r w:rsidR="00590BD8">
        <w:rPr>
          <w:rFonts w:ascii="Arial" w:hAnsi="Arial" w:cs="Arial"/>
        </w:rPr>
        <w:t>s</w:t>
      </w:r>
      <w:r w:rsidR="00CE4F1D" w:rsidRPr="009A1653">
        <w:rPr>
          <w:rFonts w:ascii="Arial" w:hAnsi="Arial" w:cs="Arial"/>
        </w:rPr>
        <w:t xml:space="preserve"> through </w:t>
      </w:r>
      <w:r w:rsidR="00F82297" w:rsidRPr="009A1653">
        <w:rPr>
          <w:rFonts w:ascii="Arial" w:hAnsi="Arial" w:cs="Arial"/>
        </w:rPr>
        <w:t xml:space="preserve">relationships and </w:t>
      </w:r>
      <w:r w:rsidR="00C449E6" w:rsidRPr="009A1653">
        <w:rPr>
          <w:rFonts w:ascii="Arial" w:hAnsi="Arial" w:cs="Arial"/>
        </w:rPr>
        <w:t xml:space="preserve">requirements of external professional registration bodies. </w:t>
      </w:r>
    </w:p>
    <w:p w14:paraId="68E27FFF" w14:textId="15AF7068" w:rsidR="009A1653" w:rsidRPr="009A1653" w:rsidRDefault="009A1653" w:rsidP="00420B77">
      <w:pPr>
        <w:spacing w:after="200" w:line="276" w:lineRule="auto"/>
        <w:jc w:val="both"/>
        <w:rPr>
          <w:rFonts w:ascii="Arial" w:hAnsi="Arial" w:cs="Arial"/>
        </w:rPr>
      </w:pPr>
      <w:r w:rsidRPr="009A1653">
        <w:rPr>
          <w:rFonts w:ascii="Arial" w:hAnsi="Arial" w:cs="Arial"/>
        </w:rPr>
        <w:t>It is acknowledged that inherent requirement statements in Australia arose from higher education institution responses to disability discrimination legislation.</w:t>
      </w:r>
    </w:p>
    <w:p w14:paraId="54EB3EEA" w14:textId="5F30E2EA" w:rsidR="00D30697" w:rsidRPr="008A35E5" w:rsidRDefault="00611B17" w:rsidP="00420B77">
      <w:pPr>
        <w:spacing w:line="276" w:lineRule="auto"/>
        <w:jc w:val="both"/>
        <w:rPr>
          <w:rFonts w:ascii="Arial" w:hAnsi="Arial" w:cs="Arial"/>
        </w:rPr>
      </w:pPr>
      <w:r w:rsidRPr="009A1653">
        <w:rPr>
          <w:rFonts w:ascii="Arial" w:hAnsi="Arial" w:cs="Arial"/>
        </w:rPr>
        <w:t xml:space="preserve">To </w:t>
      </w:r>
      <w:r w:rsidR="007575F8" w:rsidRPr="009A1653">
        <w:rPr>
          <w:rFonts w:ascii="Arial" w:hAnsi="Arial" w:cs="Arial"/>
        </w:rPr>
        <w:t>ensure universities are not gate-keeping university level knowledge</w:t>
      </w:r>
      <w:r w:rsidR="007F1741" w:rsidRPr="009A1653">
        <w:rPr>
          <w:rFonts w:ascii="Arial" w:hAnsi="Arial" w:cs="Arial"/>
        </w:rPr>
        <w:t xml:space="preserve"> and discriminating against students with disability, it is recommended that </w:t>
      </w:r>
      <w:r w:rsidR="007F1741" w:rsidRPr="009A1653">
        <w:rPr>
          <w:rFonts w:ascii="Arial" w:hAnsi="Arial" w:cs="Arial"/>
          <w:b/>
          <w:bCs/>
        </w:rPr>
        <w:t xml:space="preserve">inherent requirements </w:t>
      </w:r>
      <w:r w:rsidR="00665321" w:rsidRPr="009A1653">
        <w:rPr>
          <w:rFonts w:ascii="Arial" w:hAnsi="Arial" w:cs="Arial"/>
          <w:b/>
          <w:bCs/>
        </w:rPr>
        <w:t>and the communication of these is outlined more clearly</w:t>
      </w:r>
      <w:r w:rsidR="00F969B7" w:rsidRPr="009A1653">
        <w:rPr>
          <w:rFonts w:ascii="Arial" w:hAnsi="Arial" w:cs="Arial"/>
          <w:b/>
          <w:bCs/>
        </w:rPr>
        <w:t xml:space="preserve"> in the threshold standards</w:t>
      </w:r>
      <w:r w:rsidR="00F969B7" w:rsidRPr="009A1653">
        <w:rPr>
          <w:rFonts w:ascii="Arial" w:hAnsi="Arial" w:cs="Arial"/>
        </w:rPr>
        <w:t xml:space="preserve"> under the TEQSA Act</w:t>
      </w:r>
      <w:r w:rsidR="00282BDA" w:rsidRPr="009A1653">
        <w:rPr>
          <w:rFonts w:ascii="Arial" w:hAnsi="Arial" w:cs="Arial"/>
        </w:rPr>
        <w:t xml:space="preserve">. </w:t>
      </w:r>
      <w:r w:rsidR="00792703">
        <w:rPr>
          <w:rFonts w:ascii="Arial" w:hAnsi="Arial" w:cs="Arial"/>
        </w:rPr>
        <w:t xml:space="preserve">Inherent requirements must be communicated </w:t>
      </w:r>
      <w:r w:rsidR="00792703" w:rsidRPr="009A1653">
        <w:rPr>
          <w:rFonts w:ascii="Arial" w:hAnsi="Arial" w:cs="Arial"/>
        </w:rPr>
        <w:t>prior</w:t>
      </w:r>
      <w:r w:rsidR="00665321" w:rsidRPr="009A1653">
        <w:rPr>
          <w:rFonts w:ascii="Arial" w:hAnsi="Arial" w:cs="Arial"/>
        </w:rPr>
        <w:t xml:space="preserve"> to enrolment, </w:t>
      </w:r>
      <w:r w:rsidR="00E174BF">
        <w:rPr>
          <w:rFonts w:ascii="Arial" w:hAnsi="Arial" w:cs="Arial"/>
        </w:rPr>
        <w:t xml:space="preserve">considering </w:t>
      </w:r>
      <w:r w:rsidR="00665321" w:rsidRPr="009A1653">
        <w:rPr>
          <w:rFonts w:ascii="Arial" w:hAnsi="Arial" w:cs="Arial"/>
          <w:b/>
          <w:bCs/>
        </w:rPr>
        <w:t xml:space="preserve">the </w:t>
      </w:r>
      <w:r w:rsidR="00792703">
        <w:rPr>
          <w:rFonts w:ascii="Arial" w:hAnsi="Arial" w:cs="Arial"/>
          <w:b/>
          <w:bCs/>
        </w:rPr>
        <w:t xml:space="preserve">tertiary </w:t>
      </w:r>
      <w:r w:rsidR="00665321" w:rsidRPr="009A1653">
        <w:rPr>
          <w:rFonts w:ascii="Arial" w:hAnsi="Arial" w:cs="Arial"/>
          <w:b/>
          <w:bCs/>
        </w:rPr>
        <w:t>institution</w:t>
      </w:r>
      <w:r w:rsidR="00990019">
        <w:rPr>
          <w:rFonts w:ascii="Arial" w:hAnsi="Arial" w:cs="Arial"/>
          <w:b/>
          <w:bCs/>
        </w:rPr>
        <w:t>’</w:t>
      </w:r>
      <w:r w:rsidR="00665321" w:rsidRPr="009A1653">
        <w:rPr>
          <w:rFonts w:ascii="Arial" w:hAnsi="Arial" w:cs="Arial"/>
          <w:b/>
          <w:bCs/>
        </w:rPr>
        <w:t xml:space="preserve">s role in </w:t>
      </w:r>
      <w:r w:rsidR="00F969B7" w:rsidRPr="009A1653">
        <w:rPr>
          <w:rFonts w:ascii="Arial" w:hAnsi="Arial" w:cs="Arial"/>
          <w:b/>
          <w:bCs/>
        </w:rPr>
        <w:t xml:space="preserve">deeming someone </w:t>
      </w:r>
      <w:r w:rsidR="00F969B7" w:rsidRPr="008A35E5">
        <w:rPr>
          <w:rFonts w:ascii="Arial" w:hAnsi="Arial" w:cs="Arial"/>
          <w:b/>
          <w:bCs/>
        </w:rPr>
        <w:t>unsuitable for a job role – post-graduation</w:t>
      </w:r>
      <w:r w:rsidR="00282BDA" w:rsidRPr="008A35E5">
        <w:rPr>
          <w:rFonts w:ascii="Arial" w:hAnsi="Arial" w:cs="Arial"/>
          <w:b/>
          <w:bCs/>
        </w:rPr>
        <w:t xml:space="preserve"> </w:t>
      </w:r>
      <w:r w:rsidR="00FD70A7" w:rsidRPr="008A35E5">
        <w:rPr>
          <w:rFonts w:ascii="Arial" w:hAnsi="Arial" w:cs="Arial"/>
        </w:rPr>
        <w:t xml:space="preserve">particularly in relation to </w:t>
      </w:r>
      <w:r w:rsidR="009A1653" w:rsidRPr="008A35E5">
        <w:rPr>
          <w:rFonts w:ascii="Arial" w:hAnsi="Arial" w:cs="Arial"/>
        </w:rPr>
        <w:t xml:space="preserve">potential </w:t>
      </w:r>
      <w:r w:rsidR="00282BDA" w:rsidRPr="008A35E5">
        <w:rPr>
          <w:rFonts w:ascii="Arial" w:hAnsi="Arial" w:cs="Arial"/>
        </w:rPr>
        <w:t>‘</w:t>
      </w:r>
      <w:r w:rsidR="00FD70A7" w:rsidRPr="008A35E5">
        <w:rPr>
          <w:rFonts w:ascii="Arial" w:hAnsi="Arial" w:cs="Arial"/>
        </w:rPr>
        <w:t>unacknowledged requirements</w:t>
      </w:r>
      <w:r w:rsidR="009A1653" w:rsidRPr="008A35E5">
        <w:rPr>
          <w:rFonts w:ascii="Arial" w:hAnsi="Arial" w:cs="Arial"/>
        </w:rPr>
        <w:t>’.</w:t>
      </w:r>
      <w:r w:rsidR="00534767" w:rsidRPr="008A35E5">
        <w:rPr>
          <w:rStyle w:val="FootnoteReference"/>
          <w:rFonts w:ascii="Arial" w:hAnsi="Arial" w:cs="Arial"/>
        </w:rPr>
        <w:footnoteReference w:id="12"/>
      </w:r>
    </w:p>
    <w:p w14:paraId="3C12E79D" w14:textId="77777777" w:rsidR="009A1653" w:rsidRPr="008A35E5" w:rsidRDefault="009A1653" w:rsidP="00B03E8D">
      <w:pPr>
        <w:spacing w:line="276" w:lineRule="auto"/>
        <w:rPr>
          <w:rFonts w:ascii="Arial" w:hAnsi="Arial" w:cs="Arial"/>
        </w:rPr>
      </w:pPr>
    </w:p>
    <w:p w14:paraId="288E50A0" w14:textId="7A339025" w:rsidR="00A2718E" w:rsidRPr="008A35E5" w:rsidRDefault="009A1653" w:rsidP="00420B77">
      <w:pPr>
        <w:spacing w:after="200" w:line="276" w:lineRule="auto"/>
        <w:jc w:val="both"/>
        <w:rPr>
          <w:rFonts w:ascii="Arial" w:hAnsi="Arial" w:cs="Arial"/>
        </w:rPr>
      </w:pPr>
      <w:r w:rsidRPr="008A35E5">
        <w:rPr>
          <w:rFonts w:ascii="Arial" w:hAnsi="Arial" w:cs="Arial"/>
        </w:rPr>
        <w:lastRenderedPageBreak/>
        <w:t xml:space="preserve">In Australia </w:t>
      </w:r>
      <w:r w:rsidR="00C003CB" w:rsidRPr="008A35E5">
        <w:rPr>
          <w:rFonts w:ascii="Arial" w:hAnsi="Arial" w:cs="Arial"/>
        </w:rPr>
        <w:t>a</w:t>
      </w:r>
      <w:r w:rsidR="00570C1A" w:rsidRPr="008A35E5">
        <w:rPr>
          <w:rFonts w:ascii="Arial" w:hAnsi="Arial" w:cs="Arial"/>
        </w:rPr>
        <w:t xml:space="preserve"> </w:t>
      </w:r>
      <w:r w:rsidR="00570C1A" w:rsidRPr="008C697F">
        <w:rPr>
          <w:rFonts w:ascii="Arial" w:hAnsi="Arial" w:cs="Arial"/>
        </w:rPr>
        <w:t>Customised Employment</w:t>
      </w:r>
      <w:r w:rsidR="00570C1A" w:rsidRPr="008A35E5">
        <w:rPr>
          <w:rFonts w:ascii="Arial" w:hAnsi="Arial" w:cs="Arial"/>
        </w:rPr>
        <w:t xml:space="preserve"> approach</w:t>
      </w:r>
      <w:r w:rsidR="00217872" w:rsidRPr="008A35E5">
        <w:rPr>
          <w:rFonts w:ascii="Arial" w:hAnsi="Arial" w:cs="Arial"/>
        </w:rPr>
        <w:t xml:space="preserve"> has been recommended</w:t>
      </w:r>
      <w:r w:rsidR="00973C3B" w:rsidRPr="008A35E5">
        <w:rPr>
          <w:rFonts w:ascii="Arial" w:hAnsi="Arial" w:cs="Arial"/>
        </w:rPr>
        <w:t xml:space="preserve"> as a pathway</w:t>
      </w:r>
      <w:r w:rsidR="00570C1A" w:rsidRPr="008A35E5">
        <w:rPr>
          <w:rFonts w:ascii="Arial" w:hAnsi="Arial" w:cs="Arial"/>
        </w:rPr>
        <w:t xml:space="preserve"> to support people with disabilities – focusing on </w:t>
      </w:r>
      <w:r w:rsidR="00570C1A" w:rsidRPr="008A35E5">
        <w:rPr>
          <w:rFonts w:ascii="Arial" w:hAnsi="Arial" w:cs="Arial"/>
          <w:b/>
          <w:bCs/>
        </w:rPr>
        <w:t xml:space="preserve">strengths, interests and abilities </w:t>
      </w:r>
      <w:r w:rsidR="00570C1A" w:rsidRPr="008A35E5">
        <w:rPr>
          <w:rFonts w:ascii="Arial" w:hAnsi="Arial" w:cs="Arial"/>
        </w:rPr>
        <w:t>and essentially shaping a job to fit the individual, rather than fitting the individual into a job role.</w:t>
      </w:r>
      <w:r w:rsidR="008F6BA2">
        <w:rPr>
          <w:rFonts w:ascii="Arial" w:hAnsi="Arial" w:cs="Arial"/>
        </w:rPr>
        <w:t xml:space="preserve"> </w:t>
      </w:r>
      <w:r w:rsidR="008F6BA2" w:rsidRPr="008F6BA2">
        <w:rPr>
          <w:rFonts w:ascii="Arial" w:hAnsi="Arial" w:cs="Arial"/>
        </w:rPr>
        <w:t>Therefore, if an individual chooses to pursue a university degree, with appropriate supports and adjustments</w:t>
      </w:r>
      <w:r w:rsidR="003D52EE">
        <w:rPr>
          <w:rFonts w:ascii="Arial" w:hAnsi="Arial" w:cs="Arial"/>
        </w:rPr>
        <w:t>,</w:t>
      </w:r>
      <w:r w:rsidR="008F6BA2" w:rsidRPr="008F6BA2">
        <w:rPr>
          <w:rFonts w:ascii="Arial" w:hAnsi="Arial" w:cs="Arial"/>
        </w:rPr>
        <w:t xml:space="preserve"> they should not be disadvantaged</w:t>
      </w:r>
      <w:r w:rsidR="00600767">
        <w:rPr>
          <w:rFonts w:ascii="Arial" w:hAnsi="Arial" w:cs="Arial"/>
        </w:rPr>
        <w:t xml:space="preserve"> </w:t>
      </w:r>
      <w:r w:rsidR="008F6BA2" w:rsidRPr="008F6BA2">
        <w:rPr>
          <w:rFonts w:ascii="Arial" w:hAnsi="Arial" w:cs="Arial"/>
        </w:rPr>
        <w:t>simply because professional registration may not be available</w:t>
      </w:r>
      <w:r w:rsidR="00E6711D">
        <w:rPr>
          <w:rFonts w:ascii="Arial" w:hAnsi="Arial" w:cs="Arial"/>
        </w:rPr>
        <w:t xml:space="preserve"> to them</w:t>
      </w:r>
      <w:r w:rsidR="008F6BA2" w:rsidRPr="008F6BA2">
        <w:rPr>
          <w:rFonts w:ascii="Arial" w:hAnsi="Arial" w:cs="Arial"/>
        </w:rPr>
        <w:t xml:space="preserve"> for the credential earned</w:t>
      </w:r>
      <w:r w:rsidR="00A2718E" w:rsidRPr="008A35E5">
        <w:rPr>
          <w:rFonts w:ascii="Arial" w:hAnsi="Arial" w:cs="Arial"/>
        </w:rPr>
        <w:t>.</w:t>
      </w:r>
      <w:r w:rsidR="00153F2F" w:rsidRPr="008A35E5">
        <w:rPr>
          <w:rStyle w:val="FootnoteReference"/>
          <w:rFonts w:ascii="Arial" w:hAnsi="Arial" w:cs="Arial"/>
        </w:rPr>
        <w:footnoteReference w:id="13"/>
      </w:r>
      <w:r w:rsidR="00A2718E" w:rsidRPr="008A35E5">
        <w:rPr>
          <w:rFonts w:ascii="Arial" w:hAnsi="Arial" w:cs="Arial"/>
        </w:rPr>
        <w:t xml:space="preserve"> </w:t>
      </w:r>
    </w:p>
    <w:p w14:paraId="138A98CF" w14:textId="12A6EAE7" w:rsidR="000F4331" w:rsidRPr="008A35E5" w:rsidRDefault="000F4331" w:rsidP="00420B77">
      <w:pPr>
        <w:spacing w:after="200" w:line="276" w:lineRule="auto"/>
        <w:jc w:val="both"/>
        <w:rPr>
          <w:rFonts w:ascii="Arial" w:hAnsi="Arial" w:cs="Arial"/>
        </w:rPr>
      </w:pPr>
      <w:r w:rsidRPr="008A35E5">
        <w:rPr>
          <w:rFonts w:ascii="Arial" w:hAnsi="Arial" w:cs="Arial"/>
        </w:rPr>
        <w:br w:type="page"/>
      </w:r>
    </w:p>
    <w:p w14:paraId="4718E10C" w14:textId="0FECAAE1" w:rsidR="000F4331" w:rsidRPr="008A5009" w:rsidRDefault="000F4331" w:rsidP="00420B77">
      <w:pPr>
        <w:pStyle w:val="Heading1"/>
        <w:spacing w:line="276" w:lineRule="auto"/>
      </w:pPr>
      <w:bookmarkStart w:id="8" w:name="_Toc211524724"/>
      <w:r w:rsidRPr="008A5009">
        <w:lastRenderedPageBreak/>
        <w:drawing>
          <wp:anchor distT="0" distB="0" distL="114300" distR="114300" simplePos="0" relativeHeight="251658254" behindDoc="1" locked="0" layoutInCell="1" allowOverlap="1" wp14:anchorId="4FE8857B" wp14:editId="2655945B">
            <wp:simplePos x="0" y="0"/>
            <wp:positionH relativeFrom="column">
              <wp:posOffset>5439994</wp:posOffset>
            </wp:positionH>
            <wp:positionV relativeFrom="paragraph">
              <wp:posOffset>-840359</wp:posOffset>
            </wp:positionV>
            <wp:extent cx="863600" cy="863600"/>
            <wp:effectExtent l="0" t="0" r="0" b="0"/>
            <wp:wrapNone/>
            <wp:docPr id="266148236" name="Picture 266148236"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009">
        <w:t xml:space="preserve">Part 3: </w:t>
      </w:r>
      <w:r w:rsidR="7DA1FAAB" w:rsidRPr="008A5009">
        <w:t>Streamlined regulation for providers</w:t>
      </w:r>
      <w:bookmarkEnd w:id="8"/>
    </w:p>
    <w:p w14:paraId="207E5F28" w14:textId="76F2EE52" w:rsidR="000F4331" w:rsidRPr="008A5009" w:rsidRDefault="000F4331" w:rsidP="00420B77">
      <w:pPr>
        <w:pStyle w:val="Heading3"/>
        <w:spacing w:line="276" w:lineRule="auto"/>
      </w:pPr>
      <w:bookmarkStart w:id="9" w:name="_Toc211524725"/>
      <w:r w:rsidRPr="008A5009">
        <w:t xml:space="preserve">Recommendation 3: </w:t>
      </w:r>
      <w:r w:rsidR="687507F5" w:rsidRPr="008A5009">
        <w:t xml:space="preserve">Elevate </w:t>
      </w:r>
      <w:r w:rsidR="00307340">
        <w:t>c</w:t>
      </w:r>
      <w:r w:rsidR="687507F5" w:rsidRPr="008A5009">
        <w:t xml:space="preserve">urriculum </w:t>
      </w:r>
      <w:r w:rsidR="00307340">
        <w:t>s</w:t>
      </w:r>
      <w:r w:rsidR="687507F5" w:rsidRPr="008A5009">
        <w:t xml:space="preserve">tandards in </w:t>
      </w:r>
      <w:r w:rsidR="00307340">
        <w:t>h</w:t>
      </w:r>
      <w:r w:rsidR="687507F5" w:rsidRPr="008A5009">
        <w:t>igh-</w:t>
      </w:r>
      <w:r w:rsidR="00307340">
        <w:t>i</w:t>
      </w:r>
      <w:r w:rsidR="687507F5" w:rsidRPr="008A5009">
        <w:t xml:space="preserve">mpact </w:t>
      </w:r>
      <w:r w:rsidR="00307340">
        <w:t>p</w:t>
      </w:r>
      <w:r w:rsidR="687507F5" w:rsidRPr="008A5009">
        <w:t>rograms</w:t>
      </w:r>
      <w:bookmarkEnd w:id="9"/>
      <w:r w:rsidR="687507F5" w:rsidRPr="008A5009">
        <w:t xml:space="preserve"> </w:t>
      </w:r>
    </w:p>
    <w:p w14:paraId="5D4F2245" w14:textId="4C156529" w:rsidR="000F4331" w:rsidRPr="008A5009" w:rsidRDefault="00F52247" w:rsidP="00420B77">
      <w:pPr>
        <w:pStyle w:val="CYDABodycopy"/>
        <w:spacing w:line="276" w:lineRule="auto"/>
        <w:rPr>
          <w:i/>
          <w:iCs/>
        </w:rPr>
      </w:pPr>
      <w:r w:rsidRPr="008A5009">
        <mc:AlternateContent>
          <mc:Choice Requires="wps">
            <w:drawing>
              <wp:anchor distT="180340" distB="180340" distL="114300" distR="114300" simplePos="0" relativeHeight="251658253" behindDoc="0" locked="0" layoutInCell="1" allowOverlap="1" wp14:anchorId="3C292447" wp14:editId="3F031716">
                <wp:simplePos x="0" y="0"/>
                <wp:positionH relativeFrom="column">
                  <wp:posOffset>-38100</wp:posOffset>
                </wp:positionH>
                <wp:positionV relativeFrom="paragraph">
                  <wp:posOffset>518795</wp:posOffset>
                </wp:positionV>
                <wp:extent cx="5829300" cy="3019425"/>
                <wp:effectExtent l="0" t="0" r="0" b="9525"/>
                <wp:wrapTopAndBottom/>
                <wp:docPr id="323498421" name="Text Box 25"/>
                <wp:cNvGraphicFramePr/>
                <a:graphic xmlns:a="http://schemas.openxmlformats.org/drawingml/2006/main">
                  <a:graphicData uri="http://schemas.microsoft.com/office/word/2010/wordprocessingShape">
                    <wps:wsp>
                      <wps:cNvSpPr/>
                      <wps:spPr>
                        <a:xfrm>
                          <a:off x="0" y="0"/>
                          <a:ext cx="5829300" cy="3019425"/>
                        </a:xfrm>
                        <a:prstGeom prst="rect">
                          <a:avLst/>
                        </a:prstGeom>
                        <a:solidFill>
                          <a:schemeClr val="accent5">
                            <a:lumMod val="20000"/>
                            <a:lumOff val="80000"/>
                          </a:schemeClr>
                        </a:solidFill>
                        <a:ln w="6350">
                          <a:noFill/>
                        </a:ln>
                      </wps:spPr>
                      <wps:txbx>
                        <w:txbxContent>
                          <w:p w14:paraId="78E1F140" w14:textId="77777777" w:rsidR="00A46682" w:rsidRPr="008A5009" w:rsidRDefault="00090B35" w:rsidP="008A5009">
                            <w:pPr>
                              <w:pStyle w:val="ListParagraph"/>
                              <w:numPr>
                                <w:ilvl w:val="0"/>
                                <w:numId w:val="26"/>
                              </w:numPr>
                              <w:spacing w:line="276" w:lineRule="auto"/>
                              <w:rPr>
                                <w:rFonts w:ascii="Arial" w:hAnsi="Arial" w:cs="Arial"/>
                              </w:rPr>
                            </w:pPr>
                            <w:r w:rsidRPr="008A5009">
                              <w:rPr>
                                <w:rFonts w:ascii="Arial" w:hAnsi="Arial" w:cs="Arial"/>
                                <w:b/>
                                <w:bCs/>
                              </w:rPr>
                              <w:t xml:space="preserve">Embed disability content </w:t>
                            </w:r>
                            <w:r w:rsidRPr="008A5009">
                              <w:rPr>
                                <w:rFonts w:ascii="Arial" w:hAnsi="Arial" w:cs="Arial"/>
                              </w:rPr>
                              <w:t xml:space="preserve">to ensure graduates enter the workforce with the knowledge and skills to advance inclusion. </w:t>
                            </w:r>
                          </w:p>
                          <w:p w14:paraId="5CEB660E" w14:textId="77777777" w:rsidR="003D494D" w:rsidRPr="008A5009" w:rsidRDefault="003D494D">
                            <w:pPr>
                              <w:spacing w:line="276" w:lineRule="auto"/>
                              <w:rPr>
                                <w:rFonts w:ascii="Arial" w:hAnsi="Arial" w:cs="Arial"/>
                                <w:b/>
                                <w:bCs/>
                              </w:rPr>
                            </w:pPr>
                          </w:p>
                          <w:p w14:paraId="0EF10C67" w14:textId="4DB24E08" w:rsidR="00A46682" w:rsidRPr="008A5009" w:rsidRDefault="00090B35" w:rsidP="008A5009">
                            <w:pPr>
                              <w:pStyle w:val="ListParagraph"/>
                              <w:numPr>
                                <w:ilvl w:val="0"/>
                                <w:numId w:val="26"/>
                              </w:numPr>
                              <w:spacing w:line="276" w:lineRule="auto"/>
                              <w:rPr>
                                <w:rFonts w:ascii="Arial" w:hAnsi="Arial" w:cs="Arial"/>
                              </w:rPr>
                            </w:pPr>
                            <w:r w:rsidRPr="008A5009">
                              <w:rPr>
                                <w:rFonts w:ascii="Arial" w:hAnsi="Arial" w:cs="Arial"/>
                                <w:b/>
                                <w:bCs/>
                              </w:rPr>
                              <w:t xml:space="preserve">Mandate minimum requirements </w:t>
                            </w:r>
                            <w:r w:rsidRPr="008A5009">
                              <w:rPr>
                                <w:rFonts w:ascii="Arial" w:hAnsi="Arial" w:cs="Arial"/>
                              </w:rPr>
                              <w:t xml:space="preserve">for disability-related content across </w:t>
                            </w:r>
                            <w:r w:rsidR="00E85451">
                              <w:rPr>
                                <w:rFonts w:ascii="Arial" w:hAnsi="Arial" w:cs="Arial"/>
                              </w:rPr>
                              <w:t xml:space="preserve">high impact </w:t>
                            </w:r>
                            <w:r w:rsidRPr="008A5009">
                              <w:rPr>
                                <w:rFonts w:ascii="Arial" w:hAnsi="Arial" w:cs="Arial"/>
                              </w:rPr>
                              <w:t xml:space="preserve">programs </w:t>
                            </w:r>
                            <w:r w:rsidR="00721C87">
                              <w:rPr>
                                <w:rFonts w:ascii="Arial" w:hAnsi="Arial" w:cs="Arial"/>
                              </w:rPr>
                              <w:t>including but not limited to</w:t>
                            </w:r>
                            <w:r w:rsidRPr="008A5009">
                              <w:rPr>
                                <w:rFonts w:ascii="Arial" w:hAnsi="Arial" w:cs="Arial"/>
                              </w:rPr>
                              <w:t xml:space="preserve"> Teaching, Medicine, and Social Work</w:t>
                            </w:r>
                          </w:p>
                          <w:p w14:paraId="0479C9EF" w14:textId="77777777" w:rsidR="003D494D" w:rsidRPr="008A5009" w:rsidRDefault="003D494D">
                            <w:pPr>
                              <w:spacing w:line="276" w:lineRule="auto"/>
                              <w:rPr>
                                <w:rFonts w:ascii="Arial" w:hAnsi="Arial" w:cs="Arial"/>
                                <w:b/>
                                <w:bCs/>
                              </w:rPr>
                            </w:pPr>
                          </w:p>
                          <w:p w14:paraId="5075917A" w14:textId="77777777" w:rsidR="00A46682" w:rsidRPr="008A5009" w:rsidRDefault="00090B35" w:rsidP="008A5009">
                            <w:pPr>
                              <w:pStyle w:val="ListParagraph"/>
                              <w:numPr>
                                <w:ilvl w:val="0"/>
                                <w:numId w:val="26"/>
                              </w:numPr>
                              <w:spacing w:line="276" w:lineRule="auto"/>
                              <w:rPr>
                                <w:rFonts w:ascii="Arial" w:hAnsi="Arial" w:cs="Arial"/>
                              </w:rPr>
                            </w:pPr>
                            <w:r w:rsidRPr="008A5009">
                              <w:rPr>
                                <w:rFonts w:ascii="Arial" w:hAnsi="Arial" w:cs="Arial"/>
                                <w:b/>
                                <w:bCs/>
                              </w:rPr>
                              <w:t xml:space="preserve">Develop a more capable and responsive workforce </w:t>
                            </w:r>
                            <w:r w:rsidRPr="008A5009">
                              <w:rPr>
                                <w:rFonts w:ascii="Arial" w:hAnsi="Arial" w:cs="Arial"/>
                              </w:rPr>
                              <w:t>by producing graduates with practical expertise in disability inclusion, awareness and rights.</w:t>
                            </w:r>
                          </w:p>
                          <w:p w14:paraId="10DE9CF8" w14:textId="77777777" w:rsidR="003D494D" w:rsidRPr="008A5009" w:rsidRDefault="003D494D">
                            <w:pPr>
                              <w:spacing w:line="276" w:lineRule="auto"/>
                              <w:rPr>
                                <w:rFonts w:ascii="Arial" w:hAnsi="Arial" w:cs="Arial"/>
                                <w:b/>
                                <w:bCs/>
                              </w:rPr>
                            </w:pPr>
                          </w:p>
                          <w:p w14:paraId="495AC8CA" w14:textId="17AFD0DE" w:rsidR="00A46682" w:rsidRPr="008A5009" w:rsidRDefault="00090B35" w:rsidP="008A5009">
                            <w:pPr>
                              <w:pStyle w:val="ListParagraph"/>
                              <w:numPr>
                                <w:ilvl w:val="0"/>
                                <w:numId w:val="26"/>
                              </w:numPr>
                              <w:spacing w:line="276" w:lineRule="auto"/>
                              <w:rPr>
                                <w:rFonts w:ascii="Arial" w:hAnsi="Arial" w:cs="Arial"/>
                                <w:b/>
                                <w:bCs/>
                              </w:rPr>
                            </w:pPr>
                            <w:r w:rsidRPr="008A5009">
                              <w:rPr>
                                <w:rFonts w:ascii="Arial" w:hAnsi="Arial" w:cs="Arial"/>
                                <w:b/>
                                <w:bCs/>
                              </w:rPr>
                              <w:t xml:space="preserve">Standardise </w:t>
                            </w:r>
                            <w:r w:rsidR="00335C61">
                              <w:rPr>
                                <w:rFonts w:ascii="Arial" w:hAnsi="Arial" w:cs="Arial"/>
                                <w:b/>
                                <w:bCs/>
                              </w:rPr>
                              <w:t>p</w:t>
                            </w:r>
                            <w:r w:rsidRPr="008A5009">
                              <w:rPr>
                                <w:rFonts w:ascii="Arial" w:hAnsi="Arial" w:cs="Arial"/>
                                <w:b/>
                                <w:bCs/>
                              </w:rPr>
                              <w:t xml:space="preserve">ublic </w:t>
                            </w:r>
                            <w:r w:rsidR="00335C61">
                              <w:rPr>
                                <w:rFonts w:ascii="Arial" w:hAnsi="Arial" w:cs="Arial"/>
                                <w:b/>
                                <w:bCs/>
                              </w:rPr>
                              <w:t>d</w:t>
                            </w:r>
                            <w:r w:rsidRPr="008A5009">
                              <w:rPr>
                                <w:rFonts w:ascii="Arial" w:hAnsi="Arial" w:cs="Arial"/>
                                <w:b/>
                                <w:bCs/>
                              </w:rPr>
                              <w:t xml:space="preserve">isclosure </w:t>
                            </w:r>
                            <w:r w:rsidRPr="008A5009">
                              <w:rPr>
                                <w:rFonts w:ascii="Arial" w:hAnsi="Arial" w:cs="Arial"/>
                              </w:rPr>
                              <w:t>of information of student outcomes from these courses to support assessment and effectiveness of the investment into disability inclusion and awareness education in these fields.</w:t>
                            </w:r>
                          </w:p>
                          <w:p w14:paraId="3AD5D48F" w14:textId="77777777" w:rsidR="000F4331" w:rsidRDefault="00090B35">
                            <w:pPr>
                              <w:spacing w:line="276" w:lineRule="auto"/>
                              <w:ind w:left="706"/>
                              <w:rPr>
                                <w:rFonts w:cs="Calibri"/>
                              </w:rPr>
                            </w:pPr>
                            <w:r>
                              <w:rPr>
                                <w:rFonts w:cs="Calibri"/>
                              </w:rPr>
                              <w:t> </w:t>
                            </w:r>
                          </w:p>
                        </w:txbxContent>
                      </wps:txbx>
                      <wps:bodyPr spcFirstLastPara="0" wrap="square" lIns="180000" tIns="0" rIns="180000" bIns="108000" anchor="t">
                        <a:noAutofit/>
                      </wps:bodyPr>
                    </wps:wsp>
                  </a:graphicData>
                </a:graphic>
                <wp14:sizeRelH relativeFrom="margin">
                  <wp14:pctWidth>0</wp14:pctWidth>
                </wp14:sizeRelH>
                <wp14:sizeRelV relativeFrom="margin">
                  <wp14:pctHeight>0</wp14:pctHeight>
                </wp14:sizeRelV>
              </wp:anchor>
            </w:drawing>
          </mc:Choice>
          <mc:Fallback>
            <w:pict>
              <v:rect w14:anchorId="3C292447" id="_x0000_s1031" style="position:absolute;margin-left:-3pt;margin-top:40.85pt;width:459pt;height:237.75pt;z-index:251658253;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" fillcolor="#e0f1e0 [664]" stroked="f" strokeweight=".5pt">
                <v:textbox inset="5mm,0,5mm,3mm">
                  <w:txbxContent>
                    <w:p w14:paraId="78E1F140" w14:textId="77777777" w:rsidR="00A46682" w:rsidRPr="008A5009" w:rsidRDefault="00090B35" w:rsidP="008A5009">
                      <w:pPr>
                        <w:pStyle w:val="ListParagraph"/>
                        <w:numPr>
                          <w:ilvl w:val="0"/>
                          <w:numId w:val="26"/>
                        </w:numPr>
                        <w:spacing w:line="276" w:lineRule="auto"/>
                        <w:rPr>
                          <w:rFonts w:ascii="Arial" w:hAnsi="Arial" w:cs="Arial"/>
                        </w:rPr>
                      </w:pPr>
                      <w:r w:rsidRPr="008A5009">
                        <w:rPr>
                          <w:rFonts w:ascii="Arial" w:hAnsi="Arial" w:cs="Arial"/>
                          <w:b/>
                          <w:bCs/>
                        </w:rPr>
                        <w:t xml:space="preserve">Embed disability content </w:t>
                      </w:r>
                      <w:r w:rsidRPr="008A5009">
                        <w:rPr>
                          <w:rFonts w:ascii="Arial" w:hAnsi="Arial" w:cs="Arial"/>
                        </w:rPr>
                        <w:t xml:space="preserve">to ensure graduates enter the workforce with the knowledge and skills to advance inclusion. </w:t>
                      </w:r>
                    </w:p>
                    <w:p w14:paraId="5CEB660E" w14:textId="77777777" w:rsidR="003D494D" w:rsidRPr="008A5009" w:rsidRDefault="003D494D">
                      <w:pPr>
                        <w:spacing w:line="276" w:lineRule="auto"/>
                        <w:rPr>
                          <w:rFonts w:ascii="Arial" w:hAnsi="Arial" w:cs="Arial"/>
                          <w:b/>
                          <w:bCs/>
                        </w:rPr>
                      </w:pPr>
                    </w:p>
                    <w:p w14:paraId="0EF10C67" w14:textId="4DB24E08" w:rsidR="00A46682" w:rsidRPr="008A5009" w:rsidRDefault="00090B35" w:rsidP="008A5009">
                      <w:pPr>
                        <w:pStyle w:val="ListParagraph"/>
                        <w:numPr>
                          <w:ilvl w:val="0"/>
                          <w:numId w:val="26"/>
                        </w:numPr>
                        <w:spacing w:line="276" w:lineRule="auto"/>
                        <w:rPr>
                          <w:rFonts w:ascii="Arial" w:hAnsi="Arial" w:cs="Arial"/>
                        </w:rPr>
                      </w:pPr>
                      <w:r w:rsidRPr="008A5009">
                        <w:rPr>
                          <w:rFonts w:ascii="Arial" w:hAnsi="Arial" w:cs="Arial"/>
                          <w:b/>
                          <w:bCs/>
                        </w:rPr>
                        <w:t xml:space="preserve">Mandate minimum requirements </w:t>
                      </w:r>
                      <w:r w:rsidRPr="008A5009">
                        <w:rPr>
                          <w:rFonts w:ascii="Arial" w:hAnsi="Arial" w:cs="Arial"/>
                        </w:rPr>
                        <w:t xml:space="preserve">for disability-related content across </w:t>
                      </w:r>
                      <w:r w:rsidR="00E85451">
                        <w:rPr>
                          <w:rFonts w:ascii="Arial" w:hAnsi="Arial" w:cs="Arial"/>
                        </w:rPr>
                        <w:t xml:space="preserve">high impact </w:t>
                      </w:r>
                      <w:r w:rsidRPr="008A5009">
                        <w:rPr>
                          <w:rFonts w:ascii="Arial" w:hAnsi="Arial" w:cs="Arial"/>
                        </w:rPr>
                        <w:t xml:space="preserve">programs </w:t>
                      </w:r>
                      <w:r w:rsidR="00721C87">
                        <w:rPr>
                          <w:rFonts w:ascii="Arial" w:hAnsi="Arial" w:cs="Arial"/>
                        </w:rPr>
                        <w:t>including but not limited to</w:t>
                      </w:r>
                      <w:r w:rsidRPr="008A5009">
                        <w:rPr>
                          <w:rFonts w:ascii="Arial" w:hAnsi="Arial" w:cs="Arial"/>
                        </w:rPr>
                        <w:t xml:space="preserve"> Teaching, Medicine, and Social Work</w:t>
                      </w:r>
                    </w:p>
                    <w:p w14:paraId="0479C9EF" w14:textId="77777777" w:rsidR="003D494D" w:rsidRPr="008A5009" w:rsidRDefault="003D494D">
                      <w:pPr>
                        <w:spacing w:line="276" w:lineRule="auto"/>
                        <w:rPr>
                          <w:rFonts w:ascii="Arial" w:hAnsi="Arial" w:cs="Arial"/>
                          <w:b/>
                          <w:bCs/>
                        </w:rPr>
                      </w:pPr>
                    </w:p>
                    <w:p w14:paraId="5075917A" w14:textId="77777777" w:rsidR="00A46682" w:rsidRPr="008A5009" w:rsidRDefault="00090B35" w:rsidP="008A5009">
                      <w:pPr>
                        <w:pStyle w:val="ListParagraph"/>
                        <w:numPr>
                          <w:ilvl w:val="0"/>
                          <w:numId w:val="26"/>
                        </w:numPr>
                        <w:spacing w:line="276" w:lineRule="auto"/>
                        <w:rPr>
                          <w:rFonts w:ascii="Arial" w:hAnsi="Arial" w:cs="Arial"/>
                        </w:rPr>
                      </w:pPr>
                      <w:r w:rsidRPr="008A5009">
                        <w:rPr>
                          <w:rFonts w:ascii="Arial" w:hAnsi="Arial" w:cs="Arial"/>
                          <w:b/>
                          <w:bCs/>
                        </w:rPr>
                        <w:t xml:space="preserve">Develop a more capable and responsive workforce </w:t>
                      </w:r>
                      <w:r w:rsidRPr="008A5009">
                        <w:rPr>
                          <w:rFonts w:ascii="Arial" w:hAnsi="Arial" w:cs="Arial"/>
                        </w:rPr>
                        <w:t>by producing graduates with practical expertise in disability inclusion, awareness and rights.</w:t>
                      </w:r>
                    </w:p>
                    <w:p w14:paraId="10DE9CF8" w14:textId="77777777" w:rsidR="003D494D" w:rsidRPr="008A5009" w:rsidRDefault="003D494D">
                      <w:pPr>
                        <w:spacing w:line="276" w:lineRule="auto"/>
                        <w:rPr>
                          <w:rFonts w:ascii="Arial" w:hAnsi="Arial" w:cs="Arial"/>
                          <w:b/>
                          <w:bCs/>
                        </w:rPr>
                      </w:pPr>
                    </w:p>
                    <w:p w14:paraId="495AC8CA" w14:textId="17AFD0DE" w:rsidR="00A46682" w:rsidRPr="008A5009" w:rsidRDefault="00090B35" w:rsidP="008A5009">
                      <w:pPr>
                        <w:pStyle w:val="ListParagraph"/>
                        <w:numPr>
                          <w:ilvl w:val="0"/>
                          <w:numId w:val="26"/>
                        </w:numPr>
                        <w:spacing w:line="276" w:lineRule="auto"/>
                        <w:rPr>
                          <w:rFonts w:ascii="Arial" w:hAnsi="Arial" w:cs="Arial"/>
                          <w:b/>
                          <w:bCs/>
                        </w:rPr>
                      </w:pPr>
                      <w:r w:rsidRPr="008A5009">
                        <w:rPr>
                          <w:rFonts w:ascii="Arial" w:hAnsi="Arial" w:cs="Arial"/>
                          <w:b/>
                          <w:bCs/>
                        </w:rPr>
                        <w:t xml:space="preserve">Standardise </w:t>
                      </w:r>
                      <w:r w:rsidR="00335C61">
                        <w:rPr>
                          <w:rFonts w:ascii="Arial" w:hAnsi="Arial" w:cs="Arial"/>
                          <w:b/>
                          <w:bCs/>
                        </w:rPr>
                        <w:t>p</w:t>
                      </w:r>
                      <w:r w:rsidRPr="008A5009">
                        <w:rPr>
                          <w:rFonts w:ascii="Arial" w:hAnsi="Arial" w:cs="Arial"/>
                          <w:b/>
                          <w:bCs/>
                        </w:rPr>
                        <w:t xml:space="preserve">ublic </w:t>
                      </w:r>
                      <w:r w:rsidR="00335C61">
                        <w:rPr>
                          <w:rFonts w:ascii="Arial" w:hAnsi="Arial" w:cs="Arial"/>
                          <w:b/>
                          <w:bCs/>
                        </w:rPr>
                        <w:t>d</w:t>
                      </w:r>
                      <w:r w:rsidRPr="008A5009">
                        <w:rPr>
                          <w:rFonts w:ascii="Arial" w:hAnsi="Arial" w:cs="Arial"/>
                          <w:b/>
                          <w:bCs/>
                        </w:rPr>
                        <w:t xml:space="preserve">isclosure </w:t>
                      </w:r>
                      <w:r w:rsidRPr="008A5009">
                        <w:rPr>
                          <w:rFonts w:ascii="Arial" w:hAnsi="Arial" w:cs="Arial"/>
                        </w:rPr>
                        <w:t>of information of student outcomes from these courses to support assessment and effectiveness of the investment into disability inclusion and awareness education in these fields.</w:t>
                      </w:r>
                    </w:p>
                    <w:p w14:paraId="3AD5D48F" w14:textId="77777777" w:rsidR="000F4331" w:rsidRDefault="00090B35">
                      <w:pPr>
                        <w:spacing w:line="276" w:lineRule="auto"/>
                        <w:ind w:left="706"/>
                        <w:rPr>
                          <w:rFonts w:cs="Calibri"/>
                        </w:rPr>
                      </w:pPr>
                      <w:r>
                        <w:rPr>
                          <w:rFonts w:cs="Calibri"/>
                        </w:rPr>
                        <w:t> </w:t>
                      </w:r>
                    </w:p>
                  </w:txbxContent>
                </v:textbox>
                <w10:wrap type="topAndBottom"/>
              </v:rect>
            </w:pict>
          </mc:Fallback>
        </mc:AlternateContent>
      </w:r>
      <w:r w:rsidR="000F4331" w:rsidRPr="008A5009">
        <w:t>(</w:t>
      </w:r>
      <w:r w:rsidR="000F4331" w:rsidRPr="008A5009">
        <w:rPr>
          <w:i/>
          <w:iCs/>
        </w:rPr>
        <w:t>Response to Question</w:t>
      </w:r>
      <w:r w:rsidR="56B6E02B" w:rsidRPr="008A5009">
        <w:rPr>
          <w:i/>
          <w:iCs/>
        </w:rPr>
        <w:t xml:space="preserve"> 15</w:t>
      </w:r>
      <w:r w:rsidR="000F4331" w:rsidRPr="008A5009">
        <w:rPr>
          <w:i/>
          <w:iCs/>
        </w:rPr>
        <w:t xml:space="preserve"> of the </w:t>
      </w:r>
      <w:r w:rsidR="0D857962" w:rsidRPr="008A5009">
        <w:rPr>
          <w:i/>
          <w:iCs/>
        </w:rPr>
        <w:t>Consultation</w:t>
      </w:r>
      <w:r w:rsidR="000F4331" w:rsidRPr="008A5009">
        <w:rPr>
          <w:i/>
          <w:iCs/>
        </w:rPr>
        <w:t xml:space="preserve"> Paper)</w:t>
      </w:r>
    </w:p>
    <w:p w14:paraId="2C274AD8" w14:textId="5E98E165" w:rsidR="002D2C92" w:rsidRPr="004E4D0A" w:rsidRDefault="5CD5C6B0" w:rsidP="00420B77">
      <w:pPr>
        <w:spacing w:after="160" w:line="276" w:lineRule="auto"/>
        <w:jc w:val="both"/>
        <w:rPr>
          <w:rFonts w:ascii="Arial" w:hAnsi="Arial" w:cs="Arial"/>
          <w:b/>
          <w:bCs/>
        </w:rPr>
      </w:pPr>
      <w:r w:rsidRPr="008A5009">
        <w:rPr>
          <w:rFonts w:ascii="Arial" w:eastAsia="Aptos" w:hAnsi="Arial" w:cs="Arial"/>
        </w:rPr>
        <w:t xml:space="preserve">Australia’s Disability Strategy </w:t>
      </w:r>
      <w:r w:rsidR="00295D57">
        <w:rPr>
          <w:rFonts w:ascii="Arial" w:eastAsia="Aptos" w:hAnsi="Arial" w:cs="Arial"/>
        </w:rPr>
        <w:t>2021-2031</w:t>
      </w:r>
      <w:r w:rsidRPr="008A5009">
        <w:rPr>
          <w:rFonts w:ascii="Arial" w:eastAsia="Aptos" w:hAnsi="Arial" w:cs="Arial"/>
        </w:rPr>
        <w:t xml:space="preserve"> sets out to enshrine and elevate the ideals of respect, inclusivity, and equality to ensure people with a disability can participate as equal members of society and we continue to work towards creating an inclusive community.</w:t>
      </w:r>
      <w:r w:rsidR="00A47354">
        <w:rPr>
          <w:rStyle w:val="FootnoteReference"/>
          <w:rFonts w:ascii="Arial" w:eastAsia="Aptos" w:hAnsi="Arial" w:cs="Arial"/>
        </w:rPr>
        <w:footnoteReference w:id="14"/>
      </w:r>
      <w:r w:rsidR="001F6C79" w:rsidRPr="008A5009">
        <w:rPr>
          <w:rFonts w:ascii="Arial" w:hAnsi="Arial" w:cs="Arial"/>
        </w:rPr>
        <w:t xml:space="preserve"> </w:t>
      </w:r>
      <w:r w:rsidR="0097086B">
        <w:rPr>
          <w:rFonts w:ascii="Arial" w:hAnsi="Arial" w:cs="Arial"/>
        </w:rPr>
        <w:t xml:space="preserve">It includes </w:t>
      </w:r>
      <w:r w:rsidR="00801040">
        <w:rPr>
          <w:rFonts w:ascii="Arial" w:hAnsi="Arial" w:cs="Arial"/>
        </w:rPr>
        <w:t xml:space="preserve">a policy priority for </w:t>
      </w:r>
      <w:r w:rsidR="00801040" w:rsidRPr="004E4D0A">
        <w:rPr>
          <w:rFonts w:ascii="Arial" w:hAnsi="Arial" w:cs="Arial"/>
          <w:b/>
          <w:bCs/>
        </w:rPr>
        <w:t>key professional workforces improving understanding of disability</w:t>
      </w:r>
      <w:r w:rsidR="004E4D0A" w:rsidRPr="004E4D0A">
        <w:rPr>
          <w:rFonts w:ascii="Arial" w:hAnsi="Arial" w:cs="Arial"/>
          <w:b/>
          <w:bCs/>
        </w:rPr>
        <w:t>.</w:t>
      </w:r>
    </w:p>
    <w:p w14:paraId="126B24B8" w14:textId="3CD49940" w:rsidR="002D2C92" w:rsidRPr="008A35E5" w:rsidRDefault="5CD5C6B0" w:rsidP="00420B77">
      <w:pPr>
        <w:spacing w:after="160" w:line="276" w:lineRule="auto"/>
        <w:jc w:val="both"/>
        <w:rPr>
          <w:rFonts w:ascii="Arial" w:eastAsia="Aptos" w:hAnsi="Arial" w:cs="Arial"/>
        </w:rPr>
      </w:pPr>
      <w:r w:rsidRPr="008A5009">
        <w:rPr>
          <w:rFonts w:ascii="Arial" w:eastAsia="Aptos" w:hAnsi="Arial" w:cs="Arial"/>
        </w:rPr>
        <w:t xml:space="preserve">The current consultation, and future higher education reforms </w:t>
      </w:r>
      <w:r w:rsidRPr="004E4D0A">
        <w:rPr>
          <w:rFonts w:ascii="Arial" w:eastAsia="Aptos" w:hAnsi="Arial" w:cs="Arial"/>
          <w:b/>
          <w:bCs/>
        </w:rPr>
        <w:t xml:space="preserve">present an opportunity for the TEQSA Act to elevate curriculum standards </w:t>
      </w:r>
      <w:r w:rsidRPr="008A5009">
        <w:rPr>
          <w:rFonts w:ascii="Arial" w:eastAsia="Aptos" w:hAnsi="Arial" w:cs="Arial"/>
        </w:rPr>
        <w:t>within high-impact programs</w:t>
      </w:r>
      <w:r w:rsidR="00B70027">
        <w:rPr>
          <w:rFonts w:ascii="Arial" w:eastAsia="Aptos" w:hAnsi="Arial" w:cs="Arial"/>
        </w:rPr>
        <w:t xml:space="preserve">. </w:t>
      </w:r>
      <w:r w:rsidR="00EF1896">
        <w:rPr>
          <w:rFonts w:ascii="Arial" w:eastAsia="Aptos" w:hAnsi="Arial" w:cs="Arial"/>
        </w:rPr>
        <w:t xml:space="preserve">Students in programs </w:t>
      </w:r>
      <w:r w:rsidR="00B70027">
        <w:rPr>
          <w:rFonts w:ascii="Arial" w:eastAsia="Aptos" w:hAnsi="Arial" w:cs="Arial"/>
        </w:rPr>
        <w:t>with high levels of interaction and engagement with people with disability in</w:t>
      </w:r>
      <w:r w:rsidR="00637955">
        <w:rPr>
          <w:rFonts w:ascii="Arial" w:eastAsia="Aptos" w:hAnsi="Arial" w:cs="Arial"/>
        </w:rPr>
        <w:t xml:space="preserve"> their professions would benefit</w:t>
      </w:r>
      <w:r w:rsidR="00EF1896">
        <w:rPr>
          <w:rFonts w:ascii="Arial" w:eastAsia="Aptos" w:hAnsi="Arial" w:cs="Arial"/>
        </w:rPr>
        <w:t xml:space="preserve"> from</w:t>
      </w:r>
      <w:r w:rsidR="00B70027">
        <w:rPr>
          <w:rFonts w:ascii="Arial" w:eastAsia="Aptos" w:hAnsi="Arial" w:cs="Arial"/>
        </w:rPr>
        <w:t xml:space="preserve"> </w:t>
      </w:r>
      <w:r w:rsidRPr="008A5009">
        <w:rPr>
          <w:rFonts w:ascii="Arial" w:eastAsia="Aptos" w:hAnsi="Arial" w:cs="Arial"/>
        </w:rPr>
        <w:t xml:space="preserve">disability awareness and practical inclusion expertise throughout accredited courses, </w:t>
      </w:r>
      <w:r w:rsidRPr="004E4D0A">
        <w:rPr>
          <w:rFonts w:ascii="Arial" w:eastAsia="Aptos" w:hAnsi="Arial" w:cs="Arial"/>
          <w:b/>
          <w:bCs/>
        </w:rPr>
        <w:t>contributing to a more inclusive society.</w:t>
      </w:r>
      <w:r w:rsidRPr="008A5009">
        <w:rPr>
          <w:rFonts w:ascii="Arial" w:eastAsia="Aptos" w:hAnsi="Arial" w:cs="Arial"/>
        </w:rPr>
        <w:t xml:space="preserve"> </w:t>
      </w:r>
    </w:p>
    <w:p w14:paraId="2AA9C16E" w14:textId="47A693A4" w:rsidR="5CD5C6B0" w:rsidRDefault="5CD5C6B0" w:rsidP="00420B77">
      <w:pPr>
        <w:spacing w:after="160" w:line="276" w:lineRule="auto"/>
        <w:jc w:val="both"/>
        <w:rPr>
          <w:rFonts w:ascii="Arial" w:eastAsia="Aptos" w:hAnsi="Arial" w:cs="Arial"/>
        </w:rPr>
      </w:pPr>
      <w:r w:rsidRPr="008A5009">
        <w:rPr>
          <w:rFonts w:ascii="Arial" w:eastAsia="Aptos" w:hAnsi="Arial" w:cs="Arial"/>
        </w:rPr>
        <w:t xml:space="preserve">Rolling out elevated curriculum standards across high-impact programs, alongside standardised public disclosure regarding outcomes from these </w:t>
      </w:r>
      <w:r w:rsidR="002D2C92" w:rsidRPr="008A5009">
        <w:rPr>
          <w:rFonts w:ascii="Arial" w:eastAsia="Aptos" w:hAnsi="Arial" w:cs="Arial"/>
        </w:rPr>
        <w:t>courses, will</w:t>
      </w:r>
      <w:r w:rsidRPr="008A5009">
        <w:rPr>
          <w:rFonts w:ascii="Arial" w:eastAsia="Aptos" w:hAnsi="Arial" w:cs="Arial"/>
        </w:rPr>
        <w:t xml:space="preserve"> have </w:t>
      </w:r>
      <w:r w:rsidR="00996FDF">
        <w:rPr>
          <w:rFonts w:ascii="Arial" w:eastAsia="Aptos" w:hAnsi="Arial" w:cs="Arial"/>
        </w:rPr>
        <w:t xml:space="preserve">the </w:t>
      </w:r>
      <w:r w:rsidRPr="008A5009">
        <w:rPr>
          <w:rFonts w:ascii="Arial" w:eastAsia="Aptos" w:hAnsi="Arial" w:cs="Arial"/>
        </w:rPr>
        <w:t xml:space="preserve">greatest chance of </w:t>
      </w:r>
      <w:r w:rsidRPr="004E4D0A">
        <w:rPr>
          <w:rFonts w:ascii="Arial" w:eastAsia="Aptos" w:hAnsi="Arial" w:cs="Arial"/>
          <w:b/>
          <w:bCs/>
        </w:rPr>
        <w:t>visible real-world impact</w:t>
      </w:r>
      <w:r w:rsidRPr="008A5009">
        <w:rPr>
          <w:rFonts w:ascii="Arial" w:eastAsia="Aptos" w:hAnsi="Arial" w:cs="Arial"/>
        </w:rPr>
        <w:t xml:space="preserve"> once graduates take their practical inclusion expertise into their professional lives. </w:t>
      </w:r>
    </w:p>
    <w:p w14:paraId="5F55BDAF" w14:textId="00D53107" w:rsidR="00A2718E" w:rsidRPr="00A2718E" w:rsidRDefault="00A2718E" w:rsidP="00420B77">
      <w:pPr>
        <w:spacing w:after="160" w:line="276" w:lineRule="auto"/>
        <w:ind w:left="720"/>
        <w:rPr>
          <w:rFonts w:ascii="Arial" w:hAnsi="Arial" w:cs="Arial"/>
          <w:i/>
          <w:iCs/>
          <w:color w:val="419845" w:themeColor="accent5" w:themeShade="BF"/>
        </w:rPr>
      </w:pPr>
      <w:r w:rsidRPr="00F06AAD">
        <w:rPr>
          <w:rFonts w:ascii="Arial" w:eastAsia="Aptos" w:hAnsi="Arial" w:cs="Arial"/>
          <w:i/>
          <w:iCs/>
          <w:color w:val="419845" w:themeColor="accent5" w:themeShade="BF"/>
        </w:rPr>
        <w:lastRenderedPageBreak/>
        <w:t>“If there’s greater awareness as to potential disabilities or inabilities that some people may have, that could shape the way that obviously the people are viewed, particularly through tertiary education. To be more open, more understanding.</w:t>
      </w:r>
      <w:r w:rsidR="008D3637">
        <w:rPr>
          <w:rFonts w:ascii="Arial" w:eastAsia="Aptos" w:hAnsi="Arial" w:cs="Arial"/>
          <w:i/>
          <w:iCs/>
          <w:color w:val="419845" w:themeColor="accent5" w:themeShade="BF"/>
        </w:rPr>
        <w:t xml:space="preserve">” (YPWD, </w:t>
      </w:r>
      <w:proofErr w:type="spellStart"/>
      <w:r w:rsidR="008D3637">
        <w:rPr>
          <w:rFonts w:ascii="Arial" w:eastAsia="Aptos" w:hAnsi="Arial" w:cs="Arial"/>
          <w:i/>
          <w:iCs/>
          <w:color w:val="419845" w:themeColor="accent5" w:themeShade="BF"/>
        </w:rPr>
        <w:t>LivedX</w:t>
      </w:r>
      <w:proofErr w:type="spellEnd"/>
      <w:r w:rsidR="008D3637">
        <w:rPr>
          <w:rFonts w:ascii="Arial" w:eastAsia="Aptos" w:hAnsi="Arial" w:cs="Arial"/>
          <w:i/>
          <w:iCs/>
          <w:color w:val="419845" w:themeColor="accent5" w:themeShade="BF"/>
        </w:rPr>
        <w:t xml:space="preserve"> Series)</w:t>
      </w:r>
      <w:r>
        <w:rPr>
          <w:rStyle w:val="FootnoteReference"/>
          <w:rFonts w:ascii="Arial" w:eastAsia="Aptos" w:hAnsi="Arial" w:cs="Arial"/>
          <w:i/>
          <w:iCs/>
          <w:color w:val="419845" w:themeColor="accent5" w:themeShade="BF"/>
        </w:rPr>
        <w:footnoteReference w:id="15"/>
      </w:r>
    </w:p>
    <w:p w14:paraId="21A04FAE" w14:textId="20B33A02" w:rsidR="5CD5C6B0" w:rsidRPr="002337F7" w:rsidRDefault="5CD5C6B0" w:rsidP="00420B77">
      <w:pPr>
        <w:spacing w:before="240" w:after="160" w:line="276" w:lineRule="auto"/>
        <w:jc w:val="both"/>
        <w:rPr>
          <w:rFonts w:ascii="Arial" w:hAnsi="Arial" w:cs="Arial"/>
        </w:rPr>
      </w:pPr>
      <w:r w:rsidRPr="002337F7">
        <w:rPr>
          <w:rFonts w:ascii="Arial" w:eastAsia="Aptos" w:hAnsi="Arial" w:cs="Arial"/>
        </w:rPr>
        <w:t xml:space="preserve">Through CYDA’s recent work in South Australia (SA Roadmap to Inclusive Education – to be published early 2026), we have seen a </w:t>
      </w:r>
      <w:r w:rsidRPr="008A35E5">
        <w:rPr>
          <w:rFonts w:ascii="Arial" w:eastAsia="Aptos" w:hAnsi="Arial" w:cs="Arial"/>
          <w:b/>
          <w:bCs/>
        </w:rPr>
        <w:t xml:space="preserve">significant response through our community consultation from teachers – calling for further disability and inclusion education to be embedded within university study </w:t>
      </w:r>
      <w:r w:rsidRPr="002337F7">
        <w:rPr>
          <w:rFonts w:ascii="Arial" w:eastAsia="Aptos" w:hAnsi="Arial" w:cs="Arial"/>
        </w:rPr>
        <w:t xml:space="preserve">and offered as ongoing professional development to support their work. By embedding disability and inclusion education through accreditation of courses, the TEQSA Act and related higher education policies would align with Australia’s Disability Strategy </w:t>
      </w:r>
      <w:r w:rsidR="0021759A">
        <w:rPr>
          <w:rFonts w:ascii="Arial" w:eastAsia="Aptos" w:hAnsi="Arial" w:cs="Arial"/>
        </w:rPr>
        <w:t>2021-2031</w:t>
      </w:r>
      <w:r w:rsidRPr="002337F7">
        <w:rPr>
          <w:rFonts w:ascii="Arial" w:eastAsia="Aptos" w:hAnsi="Arial" w:cs="Arial"/>
        </w:rPr>
        <w:t xml:space="preserve"> and support the progression of </w:t>
      </w:r>
      <w:r w:rsidR="0021759A">
        <w:rPr>
          <w:rFonts w:ascii="Arial" w:eastAsia="Aptos" w:hAnsi="Arial" w:cs="Arial"/>
        </w:rPr>
        <w:t xml:space="preserve">a </w:t>
      </w:r>
      <w:r w:rsidRPr="002337F7">
        <w:rPr>
          <w:rFonts w:ascii="Arial" w:eastAsia="Aptos" w:hAnsi="Arial" w:cs="Arial"/>
        </w:rPr>
        <w:t xml:space="preserve">truly inclusive education system in Australia. </w:t>
      </w:r>
    </w:p>
    <w:p w14:paraId="26167269" w14:textId="515D0FA1" w:rsidR="2523C8DE" w:rsidRPr="008A5009" w:rsidRDefault="2523C8DE" w:rsidP="00420B77">
      <w:pPr>
        <w:spacing w:line="276" w:lineRule="auto"/>
        <w:rPr>
          <w:rFonts w:ascii="Arial" w:hAnsi="Arial" w:cs="Arial"/>
        </w:rPr>
      </w:pPr>
    </w:p>
    <w:p w14:paraId="025D9FAE" w14:textId="5C20BAB8" w:rsidR="2523C8DE" w:rsidRDefault="2523C8DE" w:rsidP="00420B77">
      <w:pPr>
        <w:pStyle w:val="CYDABodycopy"/>
        <w:spacing w:line="276" w:lineRule="auto"/>
        <w:rPr>
          <w:noProof w:val="0"/>
        </w:rPr>
      </w:pPr>
    </w:p>
    <w:p w14:paraId="4FAD3F53" w14:textId="0124CE8E" w:rsidR="00967227" w:rsidRPr="001227A0" w:rsidRDefault="00B23EE7" w:rsidP="00420B77">
      <w:pPr>
        <w:spacing w:line="276" w:lineRule="auto"/>
        <w:rPr>
          <w:rFonts w:ascii="Arial" w:hAnsi="Arial" w:cs="Arial"/>
          <w:i/>
          <w:iCs/>
          <w:color w:val="000000"/>
        </w:rPr>
      </w:pPr>
      <w:r>
        <w:br w:type="page"/>
      </w:r>
    </w:p>
    <w:p w14:paraId="57FA9BEB" w14:textId="0124CE8E" w:rsidR="00B23EE7" w:rsidRPr="008A5009" w:rsidRDefault="00B23EE7" w:rsidP="00420B77">
      <w:pPr>
        <w:pStyle w:val="Heading1"/>
        <w:spacing w:line="276" w:lineRule="auto"/>
        <w:rPr>
          <w:rStyle w:val="Heading1Char"/>
          <w:b/>
          <w:bCs/>
        </w:rPr>
      </w:pPr>
      <w:bookmarkStart w:id="10" w:name="_Toc211524726"/>
      <w:r w:rsidRPr="008A5009">
        <w:lastRenderedPageBreak/>
        <w:drawing>
          <wp:anchor distT="0" distB="0" distL="114300" distR="114300" simplePos="0" relativeHeight="251658255" behindDoc="1" locked="0" layoutInCell="1" allowOverlap="1" wp14:anchorId="2969461F" wp14:editId="46B3E0D0">
            <wp:simplePos x="0" y="0"/>
            <wp:positionH relativeFrom="column">
              <wp:posOffset>5439994</wp:posOffset>
            </wp:positionH>
            <wp:positionV relativeFrom="paragraph">
              <wp:posOffset>-840359</wp:posOffset>
            </wp:positionV>
            <wp:extent cx="863600" cy="863600"/>
            <wp:effectExtent l="0" t="0" r="0" b="0"/>
            <wp:wrapNone/>
            <wp:docPr id="1389470244" name="Picture 1389470244"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009">
        <w:t>P</w:t>
      </w:r>
      <w:r w:rsidRPr="008A5009">
        <w:rPr>
          <w:rStyle w:val="Heading1Char"/>
          <w:b/>
          <w:bCs/>
        </w:rPr>
        <w:t xml:space="preserve">art 4: </w:t>
      </w:r>
      <w:r w:rsidR="650B22B8" w:rsidRPr="008A5009">
        <w:rPr>
          <w:rStyle w:val="Heading1Char"/>
          <w:b/>
          <w:bCs/>
        </w:rPr>
        <w:t>A joined-up tertiary system</w:t>
      </w:r>
      <w:bookmarkEnd w:id="10"/>
    </w:p>
    <w:p w14:paraId="67CF77D5" w14:textId="77C19632" w:rsidR="00967227" w:rsidRPr="008A5009" w:rsidRDefault="00B23EE7" w:rsidP="00420B77">
      <w:pPr>
        <w:pStyle w:val="Heading3"/>
        <w:spacing w:line="276" w:lineRule="auto"/>
      </w:pPr>
      <w:bookmarkStart w:id="11" w:name="_Toc211524727"/>
      <w:r w:rsidRPr="008A5009">
        <w:t xml:space="preserve">Recommendation 4: </w:t>
      </w:r>
      <w:r w:rsidR="6D7E7D2F" w:rsidRPr="008A5009">
        <w:t xml:space="preserve">Drive a </w:t>
      </w:r>
      <w:r w:rsidR="00487CEE">
        <w:t>j</w:t>
      </w:r>
      <w:r w:rsidR="6D7E7D2F" w:rsidRPr="008A5009">
        <w:t>oined-</w:t>
      </w:r>
      <w:r w:rsidR="00487CEE">
        <w:t>u</w:t>
      </w:r>
      <w:r w:rsidR="6D7E7D2F" w:rsidRPr="008A5009">
        <w:t xml:space="preserve">p </w:t>
      </w:r>
      <w:r w:rsidR="00487CEE">
        <w:t>s</w:t>
      </w:r>
      <w:r w:rsidR="6D7E7D2F" w:rsidRPr="008A5009">
        <w:t xml:space="preserve">ystems </w:t>
      </w:r>
      <w:r w:rsidR="00487CEE">
        <w:t>a</w:t>
      </w:r>
      <w:r w:rsidR="6D7E7D2F" w:rsidRPr="008A5009">
        <w:t xml:space="preserve">pproach across </w:t>
      </w:r>
      <w:r w:rsidR="00487CEE">
        <w:t>e</w:t>
      </w:r>
      <w:r w:rsidR="6D7E7D2F" w:rsidRPr="008A5009">
        <w:t xml:space="preserve">ducation </w:t>
      </w:r>
      <w:r w:rsidR="00487CEE">
        <w:t>p</w:t>
      </w:r>
      <w:r w:rsidR="6D7E7D2F" w:rsidRPr="008A5009">
        <w:t>athways</w:t>
      </w:r>
      <w:bookmarkEnd w:id="11"/>
      <w:r w:rsidR="6D7E7D2F" w:rsidRPr="008A5009">
        <w:t xml:space="preserve"> </w:t>
      </w:r>
    </w:p>
    <w:p w14:paraId="6F1E8CA8" w14:textId="7BB154B9" w:rsidR="00967227" w:rsidRDefault="005B1B98" w:rsidP="00420B77">
      <w:pPr>
        <w:pStyle w:val="CYDABodycopy"/>
        <w:spacing w:line="276" w:lineRule="auto"/>
        <w:rPr>
          <w:i/>
          <w:iCs/>
        </w:rPr>
      </w:pPr>
      <w:r w:rsidRPr="008A5009">
        <mc:AlternateContent>
          <mc:Choice Requires="wps">
            <w:drawing>
              <wp:anchor distT="180340" distB="180340" distL="114300" distR="114300" simplePos="0" relativeHeight="251658256" behindDoc="0" locked="0" layoutInCell="1" allowOverlap="1" wp14:anchorId="22A0C158" wp14:editId="7D9C76F8">
                <wp:simplePos x="0" y="0"/>
                <wp:positionH relativeFrom="margin">
                  <wp:align>right</wp:align>
                </wp:positionH>
                <wp:positionV relativeFrom="paragraph">
                  <wp:posOffset>471170</wp:posOffset>
                </wp:positionV>
                <wp:extent cx="5846445" cy="1924050"/>
                <wp:effectExtent l="0" t="0" r="1905" b="0"/>
                <wp:wrapTopAndBottom/>
                <wp:docPr id="411329256" name="Text Box 25"/>
                <wp:cNvGraphicFramePr/>
                <a:graphic xmlns:a="http://schemas.openxmlformats.org/drawingml/2006/main">
                  <a:graphicData uri="http://schemas.microsoft.com/office/word/2010/wordprocessingShape">
                    <wps:wsp>
                      <wps:cNvSpPr/>
                      <wps:spPr>
                        <a:xfrm>
                          <a:off x="0" y="0"/>
                          <a:ext cx="5846445" cy="1924050"/>
                        </a:xfrm>
                        <a:prstGeom prst="rect">
                          <a:avLst/>
                        </a:prstGeom>
                        <a:solidFill>
                          <a:schemeClr val="accent5">
                            <a:lumMod val="20000"/>
                            <a:lumOff val="80000"/>
                          </a:schemeClr>
                        </a:solidFill>
                        <a:ln w="6350">
                          <a:noFill/>
                        </a:ln>
                      </wps:spPr>
                      <wps:txbx>
                        <w:txbxContent>
                          <w:p w14:paraId="468B18DF" w14:textId="43B0E1AD" w:rsidR="00967227" w:rsidRPr="008A5009" w:rsidRDefault="00593D6F" w:rsidP="00967227">
                            <w:pPr>
                              <w:spacing w:line="276" w:lineRule="auto"/>
                              <w:rPr>
                                <w:rFonts w:ascii="Arial" w:hAnsi="Arial" w:cs="Arial"/>
                              </w:rPr>
                            </w:pPr>
                            <w:r w:rsidRPr="008A5009">
                              <w:rPr>
                                <w:rFonts w:ascii="Arial" w:hAnsi="Arial" w:cs="Arial"/>
                              </w:rPr>
                              <w:t xml:space="preserve">Provide a clear and cohesive pathway to </w:t>
                            </w:r>
                            <w:r w:rsidR="00976FE5" w:rsidRPr="008A5009">
                              <w:rPr>
                                <w:rFonts w:ascii="Arial" w:hAnsi="Arial" w:cs="Arial"/>
                              </w:rPr>
                              <w:t>support students with disability to access the VET and higher education sectors</w:t>
                            </w:r>
                            <w:r w:rsidR="005B1B98" w:rsidRPr="008A5009">
                              <w:rPr>
                                <w:rFonts w:ascii="Arial" w:hAnsi="Arial" w:cs="Arial"/>
                              </w:rPr>
                              <w:t xml:space="preserve"> through:</w:t>
                            </w:r>
                          </w:p>
                          <w:p w14:paraId="6145F582" w14:textId="77777777" w:rsidR="00967227" w:rsidRPr="008A5009" w:rsidRDefault="00967227" w:rsidP="00967227">
                            <w:pPr>
                              <w:spacing w:line="276" w:lineRule="auto"/>
                              <w:rPr>
                                <w:rFonts w:ascii="Arial" w:hAnsi="Arial" w:cs="Arial"/>
                                <w:b/>
                                <w:bCs/>
                              </w:rPr>
                            </w:pPr>
                          </w:p>
                          <w:p w14:paraId="564484CE" w14:textId="34F2A656" w:rsidR="00593D6F" w:rsidRPr="008A5009" w:rsidRDefault="00593D6F" w:rsidP="008A5009">
                            <w:pPr>
                              <w:pStyle w:val="ListParagraph"/>
                              <w:numPr>
                                <w:ilvl w:val="0"/>
                                <w:numId w:val="22"/>
                              </w:numPr>
                              <w:spacing w:after="160" w:line="278" w:lineRule="auto"/>
                              <w:rPr>
                                <w:rFonts w:ascii="Arial" w:hAnsi="Arial" w:cs="Arial"/>
                              </w:rPr>
                            </w:pPr>
                            <w:r w:rsidRPr="008A5009">
                              <w:rPr>
                                <w:rFonts w:ascii="Arial" w:hAnsi="Arial" w:cs="Arial"/>
                                <w:b/>
                                <w:bCs/>
                              </w:rPr>
                              <w:t>Align</w:t>
                            </w:r>
                            <w:r w:rsidR="005B1B98" w:rsidRPr="008A5009">
                              <w:rPr>
                                <w:rFonts w:ascii="Arial" w:hAnsi="Arial" w:cs="Arial"/>
                                <w:b/>
                                <w:bCs/>
                              </w:rPr>
                              <w:t>ed</w:t>
                            </w:r>
                            <w:r w:rsidRPr="008A5009">
                              <w:rPr>
                                <w:rFonts w:ascii="Arial" w:hAnsi="Arial" w:cs="Arial"/>
                                <w:b/>
                                <w:bCs/>
                              </w:rPr>
                              <w:t xml:space="preserve"> standards and oversight</w:t>
                            </w:r>
                            <w:r w:rsidRPr="008A5009">
                              <w:rPr>
                                <w:rFonts w:ascii="Arial" w:hAnsi="Arial" w:cs="Arial"/>
                              </w:rPr>
                              <w:t xml:space="preserve"> across the VET and higher education sectors</w:t>
                            </w:r>
                            <w:r w:rsidR="00DC74B2">
                              <w:rPr>
                                <w:rFonts w:ascii="Arial" w:hAnsi="Arial" w:cs="Arial"/>
                              </w:rPr>
                              <w:t xml:space="preserve"> through the development of a national framework for inclusive education and training pathways.</w:t>
                            </w:r>
                          </w:p>
                          <w:p w14:paraId="30523B95" w14:textId="77777777" w:rsidR="008A5009" w:rsidRPr="008A5009" w:rsidRDefault="008A5009" w:rsidP="008A5009">
                            <w:pPr>
                              <w:pStyle w:val="ListParagraph"/>
                              <w:spacing w:after="160" w:line="278" w:lineRule="auto"/>
                              <w:rPr>
                                <w:rFonts w:ascii="Arial" w:hAnsi="Arial" w:cs="Arial"/>
                              </w:rPr>
                            </w:pPr>
                          </w:p>
                          <w:p w14:paraId="21CCEC0B" w14:textId="71C961FB" w:rsidR="00593D6F" w:rsidRPr="008A5009" w:rsidRDefault="00593D6F" w:rsidP="008A5009">
                            <w:pPr>
                              <w:pStyle w:val="ListParagraph"/>
                              <w:numPr>
                                <w:ilvl w:val="0"/>
                                <w:numId w:val="22"/>
                              </w:numPr>
                              <w:spacing w:after="160" w:line="278" w:lineRule="auto"/>
                              <w:rPr>
                                <w:rFonts w:ascii="Arial" w:hAnsi="Arial" w:cs="Arial"/>
                              </w:rPr>
                            </w:pPr>
                            <w:r w:rsidRPr="008A5009">
                              <w:rPr>
                                <w:rFonts w:ascii="Arial" w:hAnsi="Arial" w:cs="Arial"/>
                                <w:b/>
                                <w:bCs/>
                              </w:rPr>
                              <w:t>Strengthen</w:t>
                            </w:r>
                            <w:r w:rsidR="005B1B98" w:rsidRPr="008A5009">
                              <w:rPr>
                                <w:rFonts w:ascii="Arial" w:hAnsi="Arial" w:cs="Arial"/>
                                <w:b/>
                                <w:bCs/>
                              </w:rPr>
                              <w:t>ed</w:t>
                            </w:r>
                            <w:r w:rsidRPr="008A5009">
                              <w:rPr>
                                <w:rFonts w:ascii="Arial" w:hAnsi="Arial" w:cs="Arial"/>
                                <w:b/>
                                <w:bCs/>
                              </w:rPr>
                              <w:t xml:space="preserve"> pathways</w:t>
                            </w:r>
                            <w:r w:rsidRPr="008A5009">
                              <w:rPr>
                                <w:rFonts w:ascii="Arial" w:hAnsi="Arial" w:cs="Arial"/>
                              </w:rPr>
                              <w:t xml:space="preserve"> that promote progression and lifelong learning opportunities for students with disability</w:t>
                            </w:r>
                          </w:p>
                          <w:p w14:paraId="006A4A67" w14:textId="77777777" w:rsidR="00967227" w:rsidRDefault="00967227" w:rsidP="00967227">
                            <w:pPr>
                              <w:spacing w:line="276" w:lineRule="auto"/>
                              <w:ind w:left="706"/>
                              <w:rPr>
                                <w:rFonts w:cs="Calibri"/>
                              </w:rPr>
                            </w:pPr>
                            <w:r>
                              <w:rPr>
                                <w:rFonts w:cs="Calibri"/>
                              </w:rPr>
                              <w:t> </w:t>
                            </w:r>
                          </w:p>
                        </w:txbxContent>
                      </wps:txbx>
                      <wps:bodyPr spcFirstLastPara="0" wrap="square" lIns="180000" tIns="0" rIns="180000" bIns="108000" anchor="t">
                        <a:noAutofit/>
                      </wps:bodyPr>
                    </wps:wsp>
                  </a:graphicData>
                </a:graphic>
                <wp14:sizeRelH relativeFrom="margin">
                  <wp14:pctWidth>0</wp14:pctWidth>
                </wp14:sizeRelH>
                <wp14:sizeRelV relativeFrom="margin">
                  <wp14:pctHeight>0</wp14:pctHeight>
                </wp14:sizeRelV>
              </wp:anchor>
            </w:drawing>
          </mc:Choice>
          <mc:Fallback>
            <w:pict>
              <v:rect w14:anchorId="22A0C158" id="_x0000_s1032" style="position:absolute;margin-left:409.15pt;margin-top:37.1pt;width:460.35pt;height:151.5pt;z-index:251658256;visibility:visible;mso-wrap-style:square;mso-width-percent:0;mso-height-percent:0;mso-wrap-distance-left:9pt;mso-wrap-distance-top:14.2pt;mso-wrap-distance-right:9pt;mso-wrap-distance-bottom:14.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" fillcolor="#e0f1e0 [664]" stroked="f" strokeweight=".5pt">
                <v:textbox inset="5mm,0,5mm,3mm">
                  <w:txbxContent>
                    <w:p w14:paraId="468B18DF" w14:textId="43B0E1AD" w:rsidR="00967227" w:rsidRPr="008A5009" w:rsidRDefault="00593D6F" w:rsidP="00967227">
                      <w:pPr>
                        <w:spacing w:line="276" w:lineRule="auto"/>
                        <w:rPr>
                          <w:rFonts w:ascii="Arial" w:hAnsi="Arial" w:cs="Arial"/>
                        </w:rPr>
                      </w:pPr>
                      <w:r w:rsidRPr="008A5009">
                        <w:rPr>
                          <w:rFonts w:ascii="Arial" w:hAnsi="Arial" w:cs="Arial"/>
                        </w:rPr>
                        <w:t xml:space="preserve">Provide a clear and cohesive pathway to </w:t>
                      </w:r>
                      <w:r w:rsidR="00976FE5" w:rsidRPr="008A5009">
                        <w:rPr>
                          <w:rFonts w:ascii="Arial" w:hAnsi="Arial" w:cs="Arial"/>
                        </w:rPr>
                        <w:t>support students with disability to access the VET and higher education sectors</w:t>
                      </w:r>
                      <w:r w:rsidR="005B1B98" w:rsidRPr="008A5009">
                        <w:rPr>
                          <w:rFonts w:ascii="Arial" w:hAnsi="Arial" w:cs="Arial"/>
                        </w:rPr>
                        <w:t xml:space="preserve"> through:</w:t>
                      </w:r>
                    </w:p>
                    <w:p w14:paraId="6145F582" w14:textId="77777777" w:rsidR="00967227" w:rsidRPr="008A5009" w:rsidRDefault="00967227" w:rsidP="00967227">
                      <w:pPr>
                        <w:spacing w:line="276" w:lineRule="auto"/>
                        <w:rPr>
                          <w:rFonts w:ascii="Arial" w:hAnsi="Arial" w:cs="Arial"/>
                          <w:b/>
                          <w:bCs/>
                        </w:rPr>
                      </w:pPr>
                    </w:p>
                    <w:p w14:paraId="564484CE" w14:textId="34F2A656" w:rsidR="00593D6F" w:rsidRPr="008A5009" w:rsidRDefault="00593D6F" w:rsidP="008A5009">
                      <w:pPr>
                        <w:pStyle w:val="ListParagraph"/>
                        <w:numPr>
                          <w:ilvl w:val="0"/>
                          <w:numId w:val="22"/>
                        </w:numPr>
                        <w:spacing w:after="160" w:line="278" w:lineRule="auto"/>
                        <w:rPr>
                          <w:rFonts w:ascii="Arial" w:hAnsi="Arial" w:cs="Arial"/>
                        </w:rPr>
                      </w:pPr>
                      <w:r w:rsidRPr="008A5009">
                        <w:rPr>
                          <w:rFonts w:ascii="Arial" w:hAnsi="Arial" w:cs="Arial"/>
                          <w:b/>
                          <w:bCs/>
                        </w:rPr>
                        <w:t>Align</w:t>
                      </w:r>
                      <w:r w:rsidR="005B1B98" w:rsidRPr="008A5009">
                        <w:rPr>
                          <w:rFonts w:ascii="Arial" w:hAnsi="Arial" w:cs="Arial"/>
                          <w:b/>
                          <w:bCs/>
                        </w:rPr>
                        <w:t>ed</w:t>
                      </w:r>
                      <w:r w:rsidRPr="008A5009">
                        <w:rPr>
                          <w:rFonts w:ascii="Arial" w:hAnsi="Arial" w:cs="Arial"/>
                          <w:b/>
                          <w:bCs/>
                        </w:rPr>
                        <w:t xml:space="preserve"> standards and oversight</w:t>
                      </w:r>
                      <w:r w:rsidRPr="008A5009">
                        <w:rPr>
                          <w:rFonts w:ascii="Arial" w:hAnsi="Arial" w:cs="Arial"/>
                        </w:rPr>
                        <w:t xml:space="preserve"> across the VET and higher education sectors</w:t>
                      </w:r>
                      <w:r w:rsidR="00DC74B2">
                        <w:rPr>
                          <w:rFonts w:ascii="Arial" w:hAnsi="Arial" w:cs="Arial"/>
                        </w:rPr>
                        <w:t xml:space="preserve"> through the development of a national framework for inclusive education and training pathways.</w:t>
                      </w:r>
                    </w:p>
                    <w:p w14:paraId="30523B95" w14:textId="77777777" w:rsidR="008A5009" w:rsidRPr="008A5009" w:rsidRDefault="008A5009" w:rsidP="008A5009">
                      <w:pPr>
                        <w:pStyle w:val="ListParagraph"/>
                        <w:spacing w:after="160" w:line="278" w:lineRule="auto"/>
                        <w:rPr>
                          <w:rFonts w:ascii="Arial" w:hAnsi="Arial" w:cs="Arial"/>
                        </w:rPr>
                      </w:pPr>
                    </w:p>
                    <w:p w14:paraId="21CCEC0B" w14:textId="71C961FB" w:rsidR="00593D6F" w:rsidRPr="008A5009" w:rsidRDefault="00593D6F" w:rsidP="008A5009">
                      <w:pPr>
                        <w:pStyle w:val="ListParagraph"/>
                        <w:numPr>
                          <w:ilvl w:val="0"/>
                          <w:numId w:val="22"/>
                        </w:numPr>
                        <w:spacing w:after="160" w:line="278" w:lineRule="auto"/>
                        <w:rPr>
                          <w:rFonts w:ascii="Arial" w:hAnsi="Arial" w:cs="Arial"/>
                        </w:rPr>
                      </w:pPr>
                      <w:r w:rsidRPr="008A5009">
                        <w:rPr>
                          <w:rFonts w:ascii="Arial" w:hAnsi="Arial" w:cs="Arial"/>
                          <w:b/>
                          <w:bCs/>
                        </w:rPr>
                        <w:t>Strengthen</w:t>
                      </w:r>
                      <w:r w:rsidR="005B1B98" w:rsidRPr="008A5009">
                        <w:rPr>
                          <w:rFonts w:ascii="Arial" w:hAnsi="Arial" w:cs="Arial"/>
                          <w:b/>
                          <w:bCs/>
                        </w:rPr>
                        <w:t>ed</w:t>
                      </w:r>
                      <w:r w:rsidRPr="008A5009">
                        <w:rPr>
                          <w:rFonts w:ascii="Arial" w:hAnsi="Arial" w:cs="Arial"/>
                          <w:b/>
                          <w:bCs/>
                        </w:rPr>
                        <w:t xml:space="preserve"> pathways</w:t>
                      </w:r>
                      <w:r w:rsidRPr="008A5009">
                        <w:rPr>
                          <w:rFonts w:ascii="Arial" w:hAnsi="Arial" w:cs="Arial"/>
                        </w:rPr>
                        <w:t xml:space="preserve"> that promote progression and lifelong learning opportunities for students with disability</w:t>
                      </w:r>
                    </w:p>
                    <w:p w14:paraId="006A4A67" w14:textId="77777777" w:rsidR="00967227" w:rsidRDefault="00967227" w:rsidP="00967227">
                      <w:pPr>
                        <w:spacing w:line="276" w:lineRule="auto"/>
                        <w:ind w:left="706"/>
                        <w:rPr>
                          <w:rFonts w:cs="Calibri"/>
                        </w:rPr>
                      </w:pPr>
                      <w:r>
                        <w:rPr>
                          <w:rFonts w:cs="Calibri"/>
                        </w:rPr>
                        <w:t> </w:t>
                      </w:r>
                    </w:p>
                  </w:txbxContent>
                </v:textbox>
                <w10:wrap type="topAndBottom" anchorx="margin"/>
              </v:rect>
            </w:pict>
          </mc:Fallback>
        </mc:AlternateContent>
      </w:r>
      <w:r w:rsidR="00967227" w:rsidRPr="008A5009">
        <w:t>(</w:t>
      </w:r>
      <w:r w:rsidR="00967227" w:rsidRPr="008A5009">
        <w:rPr>
          <w:i/>
          <w:iCs/>
        </w:rPr>
        <w:t>Response to Question 16 and 16a of the Consultation Paper)</w:t>
      </w:r>
    </w:p>
    <w:p w14:paraId="746AB80D" w14:textId="27B3939A" w:rsidR="008D3637" w:rsidRPr="00DC74B2" w:rsidRDefault="00DC74B2" w:rsidP="00420B77">
      <w:pPr>
        <w:spacing w:line="276" w:lineRule="auto"/>
        <w:rPr>
          <w:rFonts w:ascii="Arial" w:hAnsi="Arial" w:cs="Arial"/>
        </w:rPr>
      </w:pPr>
      <w:r w:rsidRPr="00DC74B2">
        <w:rPr>
          <w:rFonts w:ascii="Arial" w:hAnsi="Arial" w:cs="Arial"/>
        </w:rPr>
        <w:t xml:space="preserve">CYDA calls for TEQSA to address reforms to align standards and oversight across the VET and higher education sectors, supporting a </w:t>
      </w:r>
      <w:r w:rsidRPr="00DC74B2">
        <w:rPr>
          <w:rFonts w:ascii="Arial" w:hAnsi="Arial" w:cs="Arial"/>
          <w:b/>
          <w:bCs/>
        </w:rPr>
        <w:t xml:space="preserve">joined-up system </w:t>
      </w:r>
      <w:r w:rsidRPr="00DC74B2">
        <w:rPr>
          <w:rFonts w:ascii="Arial" w:hAnsi="Arial" w:cs="Arial"/>
        </w:rPr>
        <w:t xml:space="preserve">for post-secondary education pathways. </w:t>
      </w:r>
    </w:p>
    <w:p w14:paraId="78B351D5" w14:textId="6F7202BF" w:rsidR="00DC74B2" w:rsidRPr="00DC74B2" w:rsidRDefault="00DC74B2" w:rsidP="00420B77">
      <w:pPr>
        <w:spacing w:before="240" w:line="276" w:lineRule="auto"/>
        <w:ind w:left="720"/>
        <w:rPr>
          <w:rFonts w:ascii="Arial" w:hAnsi="Arial" w:cs="Arial"/>
          <w:i/>
          <w:iCs/>
          <w:color w:val="419845" w:themeColor="accent5" w:themeShade="BF"/>
        </w:rPr>
      </w:pPr>
      <w:r w:rsidRPr="00DC74B2">
        <w:rPr>
          <w:rFonts w:ascii="Arial" w:hAnsi="Arial" w:cs="Arial"/>
          <w:i/>
          <w:iCs/>
          <w:color w:val="419845" w:themeColor="accent5" w:themeShade="BF"/>
        </w:rPr>
        <w:t>Tertiary education attainment supports improved employment rates and income. Improving access to and participation in post-school education and training assists people with disability to achieve their full potential and access the same opportunities as Australians without disability. – Australia’s Disability Strategy</w:t>
      </w:r>
      <w:r w:rsidR="00481DAE">
        <w:rPr>
          <w:rFonts w:ascii="Arial" w:hAnsi="Arial" w:cs="Arial"/>
          <w:i/>
          <w:iCs/>
          <w:color w:val="419845" w:themeColor="accent5" w:themeShade="BF"/>
        </w:rPr>
        <w:t xml:space="preserve"> 2021-2031</w:t>
      </w:r>
      <w:r w:rsidR="00F83779">
        <w:rPr>
          <w:rStyle w:val="FootnoteReference"/>
          <w:rFonts w:ascii="Arial" w:hAnsi="Arial" w:cs="Arial"/>
          <w:i/>
          <w:iCs/>
          <w:color w:val="419845" w:themeColor="accent5" w:themeShade="BF"/>
        </w:rPr>
        <w:footnoteReference w:id="16"/>
      </w:r>
    </w:p>
    <w:p w14:paraId="6BD97E1F" w14:textId="0E2BAA9F" w:rsidR="00DC74B2" w:rsidRPr="00DC74B2" w:rsidRDefault="00DC74B2" w:rsidP="00420B77">
      <w:pPr>
        <w:spacing w:before="240" w:line="276" w:lineRule="auto"/>
        <w:rPr>
          <w:rFonts w:ascii="Arial" w:hAnsi="Arial" w:cs="Arial"/>
        </w:rPr>
      </w:pPr>
      <w:r w:rsidRPr="00DC74B2">
        <w:rPr>
          <w:rFonts w:ascii="Arial" w:hAnsi="Arial" w:cs="Arial"/>
        </w:rPr>
        <w:t xml:space="preserve">We recommend the tertiary education sector, including VET and higher education institutions work together to develop a </w:t>
      </w:r>
      <w:r w:rsidRPr="00DC74B2">
        <w:rPr>
          <w:rFonts w:ascii="Arial" w:hAnsi="Arial" w:cs="Arial"/>
          <w:b/>
          <w:bCs/>
        </w:rPr>
        <w:t xml:space="preserve">national framework for inclusive education and training pathways. </w:t>
      </w:r>
      <w:r w:rsidRPr="00DC74B2">
        <w:rPr>
          <w:rFonts w:ascii="Arial" w:hAnsi="Arial" w:cs="Arial"/>
        </w:rPr>
        <w:t xml:space="preserve">A national framework for inclusive education and training pathways would support </w:t>
      </w:r>
      <w:r w:rsidRPr="00DC74B2">
        <w:rPr>
          <w:rFonts w:ascii="Arial" w:hAnsi="Arial" w:cs="Arial"/>
          <w:b/>
          <w:bCs/>
        </w:rPr>
        <w:t>consistent standards</w:t>
      </w:r>
      <w:r w:rsidRPr="00DC74B2">
        <w:rPr>
          <w:rFonts w:ascii="Arial" w:hAnsi="Arial" w:cs="Arial"/>
        </w:rPr>
        <w:t xml:space="preserve"> for accessibility, support and reasonable adjustments to enable </w:t>
      </w:r>
      <w:r w:rsidRPr="00DC74B2">
        <w:rPr>
          <w:rFonts w:ascii="Arial" w:hAnsi="Arial" w:cs="Arial"/>
          <w:b/>
          <w:bCs/>
        </w:rPr>
        <w:t>equitable access</w:t>
      </w:r>
      <w:r w:rsidRPr="00DC74B2">
        <w:rPr>
          <w:rFonts w:ascii="Arial" w:hAnsi="Arial" w:cs="Arial"/>
        </w:rPr>
        <w:t xml:space="preserve"> to post-secondary education and improve employment outcomes for students with disability. </w:t>
      </w:r>
    </w:p>
    <w:p w14:paraId="6898FFAE" w14:textId="77777777" w:rsidR="00DC74B2" w:rsidRPr="00DC74B2" w:rsidRDefault="00DC74B2" w:rsidP="00420B77">
      <w:pPr>
        <w:spacing w:before="240" w:line="276" w:lineRule="auto"/>
        <w:rPr>
          <w:rFonts w:ascii="Arial" w:hAnsi="Arial" w:cs="Arial"/>
          <w:b/>
          <w:bCs/>
        </w:rPr>
      </w:pPr>
      <w:r w:rsidRPr="00DC74B2">
        <w:rPr>
          <w:rFonts w:ascii="Arial" w:hAnsi="Arial" w:cs="Arial"/>
        </w:rPr>
        <w:t xml:space="preserve">Australia’s Disability Strategy has policy priorities in both the Education and Learning, and Employment and Financial Security outcome areas that would be addressed through the development of a national framework, </w:t>
      </w:r>
      <w:r w:rsidRPr="00DC74B2">
        <w:rPr>
          <w:rFonts w:ascii="Arial" w:hAnsi="Arial" w:cs="Arial"/>
          <w:b/>
          <w:bCs/>
        </w:rPr>
        <w:t>improving pathways and accessibility to further education</w:t>
      </w:r>
      <w:r w:rsidRPr="00DC74B2">
        <w:rPr>
          <w:rFonts w:ascii="Arial" w:hAnsi="Arial" w:cs="Arial"/>
        </w:rPr>
        <w:t xml:space="preserve"> and training and </w:t>
      </w:r>
      <w:r w:rsidRPr="00DC74B2">
        <w:rPr>
          <w:rFonts w:ascii="Arial" w:hAnsi="Arial" w:cs="Arial"/>
          <w:b/>
          <w:bCs/>
        </w:rPr>
        <w:t xml:space="preserve">improving the transition of young people with disability from education to employment. </w:t>
      </w:r>
    </w:p>
    <w:p w14:paraId="373ADFCA" w14:textId="56839A4F" w:rsidR="004504B1" w:rsidRPr="008A35E5" w:rsidRDefault="004504B1" w:rsidP="008A35E5">
      <w:pPr>
        <w:rPr>
          <w:rFonts w:ascii="Arial" w:hAnsi="Arial" w:cs="Arial"/>
          <w:color w:val="000000"/>
        </w:rPr>
        <w:sectPr w:rsidR="004504B1" w:rsidRPr="008A35E5" w:rsidSect="00AB7511">
          <w:type w:val="continuous"/>
          <w:pgSz w:w="11906" w:h="16838"/>
          <w:pgMar w:top="1524" w:right="1252" w:bottom="1440" w:left="1440" w:header="708" w:footer="708" w:gutter="0"/>
          <w:cols w:space="708"/>
          <w:docGrid w:linePitch="360"/>
        </w:sectPr>
      </w:pPr>
    </w:p>
    <w:p w14:paraId="564DF2FF" w14:textId="1A6F42F7" w:rsidR="00EC6123" w:rsidRPr="009B22F4" w:rsidRDefault="008507B8" w:rsidP="00EC6123">
      <w:pPr>
        <w:pStyle w:val="CYDABodycopy"/>
        <w:rPr>
          <w:noProof w:val="0"/>
        </w:rPr>
      </w:pPr>
      <w:r w:rsidRPr="009B22F4">
        <w:lastRenderedPageBreak/>
        <mc:AlternateContent>
          <mc:Choice Requires="wps">
            <w:drawing>
              <wp:anchor distT="0" distB="0" distL="114300" distR="114300" simplePos="0" relativeHeight="251658245" behindDoc="1" locked="0" layoutInCell="1" allowOverlap="1" wp14:anchorId="44FEF825" wp14:editId="354D4257">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5A4AAF9" id="Rectangle 14" o:spid="_x0000_s1026" style="position:absolute;margin-left:-1in;margin-top:1pt;width:596.3pt;height:730.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9B22F4">
        <w:rPr>
          <w:b/>
          <w:bCs/>
          <w:noProof w:val="0"/>
        </w:rPr>
        <w:t>Children and Young People with Disability Australia</w:t>
      </w:r>
      <w:r w:rsidR="00EC6123" w:rsidRPr="009B22F4">
        <w:rPr>
          <w:noProof w:val="0"/>
        </w:rPr>
        <w:br/>
        <w:t>Suite 8, 134 Cambridge Street Collingwood V</w:t>
      </w:r>
      <w:r w:rsidR="005C4F2B" w:rsidRPr="009B22F4">
        <w:rPr>
          <w:noProof w:val="0"/>
        </w:rPr>
        <w:t>IC</w:t>
      </w:r>
      <w:r w:rsidR="00EC6123" w:rsidRPr="009B22F4">
        <w:rPr>
          <w:noProof w:val="0"/>
        </w:rPr>
        <w:t xml:space="preserve"> 3066</w:t>
      </w:r>
      <w:r w:rsidR="00EC6123" w:rsidRPr="009B22F4">
        <w:rPr>
          <w:noProof w:val="0"/>
        </w:rPr>
        <w:br/>
        <w:t>PO Box 172, Clifton Hill VIC 3068</w:t>
      </w:r>
    </w:p>
    <w:p w14:paraId="076FFE60" w14:textId="6CF9F299" w:rsidR="00EC6123" w:rsidRPr="009B22F4" w:rsidRDefault="00EC6123" w:rsidP="00EC6123">
      <w:pPr>
        <w:pStyle w:val="CYDABodycopy"/>
        <w:rPr>
          <w:noProof w:val="0"/>
        </w:rPr>
      </w:pPr>
      <w:r w:rsidRPr="009B22F4">
        <w:rPr>
          <w:noProof w:val="0"/>
        </w:rPr>
        <w:t xml:space="preserve">Phone 03 9417 1025 or </w:t>
      </w:r>
      <w:r w:rsidRPr="009B22F4">
        <w:rPr>
          <w:noProof w:val="0"/>
        </w:rPr>
        <w:br/>
        <w:t xml:space="preserve">1800 222 660 (regional or interstate) </w:t>
      </w:r>
      <w:r w:rsidRPr="009B22F4">
        <w:rPr>
          <w:noProof w:val="0"/>
        </w:rPr>
        <w:br/>
        <w:t>Email info@cyda.org.au</w:t>
      </w:r>
      <w:r w:rsidRPr="009B22F4">
        <w:rPr>
          <w:noProof w:val="0"/>
        </w:rPr>
        <w:br/>
        <w:t>ABN 42 140 529 273</w:t>
      </w:r>
    </w:p>
    <w:p w14:paraId="6D219B28" w14:textId="77220EF1" w:rsidR="00392AAA" w:rsidRPr="009B22F4" w:rsidRDefault="00EC6123" w:rsidP="00EC6123">
      <w:pPr>
        <w:pStyle w:val="CYDABodycopy"/>
        <w:rPr>
          <w:noProof w:val="0"/>
        </w:rPr>
      </w:pPr>
      <w:r w:rsidRPr="009B22F4">
        <w:rPr>
          <w:b/>
          <w:bCs/>
          <w:noProof w:val="0"/>
        </w:rPr>
        <w:t>Facebook:</w:t>
      </w:r>
      <w:r w:rsidRPr="009B22F4">
        <w:rPr>
          <w:noProof w:val="0"/>
        </w:rPr>
        <w:t xml:space="preserve"> </w:t>
      </w:r>
      <w:hyperlink r:id="rId25" w:history="1">
        <w:r w:rsidRPr="009B22F4">
          <w:rPr>
            <w:noProof w:val="0"/>
          </w:rPr>
          <w:t>www.facebook.com/CydaAu</w:t>
        </w:r>
      </w:hyperlink>
      <w:r w:rsidRPr="009B22F4">
        <w:rPr>
          <w:noProof w:val="0"/>
        </w:rPr>
        <w:br/>
      </w:r>
      <w:r w:rsidRPr="009B22F4">
        <w:rPr>
          <w:b/>
          <w:bCs/>
          <w:noProof w:val="0"/>
        </w:rPr>
        <w:t>Instagram:</w:t>
      </w:r>
      <w:r w:rsidRPr="009B22F4">
        <w:rPr>
          <w:noProof w:val="0"/>
        </w:rPr>
        <w:t xml:space="preserve"> </w:t>
      </w:r>
      <w:proofErr w:type="spellStart"/>
      <w:r w:rsidRPr="009B22F4">
        <w:rPr>
          <w:noProof w:val="0"/>
        </w:rPr>
        <w:t>cydaaus</w:t>
      </w:r>
      <w:proofErr w:type="spellEnd"/>
    </w:p>
    <w:p w14:paraId="3FC4103C" w14:textId="7BAB9F1C" w:rsidR="00884FA4" w:rsidRPr="009B22F4" w:rsidRDefault="004504B1" w:rsidP="00EC6123">
      <w:pPr>
        <w:pStyle w:val="CYDABodycopy"/>
        <w:rPr>
          <w:b/>
          <w:bCs/>
          <w:noProof w:val="0"/>
        </w:rPr>
      </w:pPr>
      <w:r w:rsidRPr="009B22F4">
        <w:drawing>
          <wp:anchor distT="0" distB="0" distL="114300" distR="114300" simplePos="0" relativeHeight="251658250"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22F4">
        <mc:AlternateContent>
          <mc:Choice Requires="wps">
            <w:drawing>
              <wp:anchor distT="0" distB="0" distL="114300" distR="114300" simplePos="0" relativeHeight="251658240"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AC3030" id="Rectangle 13" o:spid="_x0000_s1026" style="position:absolute;margin-left:-1in;margin-top:723.1pt;width:596.3pt;height:1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9B22F4">
        <w:rPr>
          <w:b/>
          <w:bCs/>
          <w:noProof w:val="0"/>
        </w:rPr>
        <w:t>www.</w:t>
      </w:r>
      <w:r w:rsidR="00884FA4" w:rsidRPr="009B22F4">
        <w:rPr>
          <w:b/>
          <w:bCs/>
          <w:noProof w:val="0"/>
        </w:rPr>
        <w:t>cyda.org.au</w:t>
      </w:r>
    </w:p>
    <w:sectPr w:rsidR="00884FA4" w:rsidRPr="009B22F4" w:rsidSect="00AB751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81A6" w14:textId="77777777" w:rsidR="00B41046" w:rsidRDefault="00B41046" w:rsidP="00472C55">
      <w:r>
        <w:separator/>
      </w:r>
    </w:p>
    <w:p w14:paraId="3837B591" w14:textId="77777777" w:rsidR="00B41046" w:rsidRDefault="00B41046"/>
    <w:p w14:paraId="4C3D43AE" w14:textId="77777777" w:rsidR="00B41046" w:rsidRDefault="00B41046"/>
  </w:endnote>
  <w:endnote w:type="continuationSeparator" w:id="0">
    <w:p w14:paraId="5624B389" w14:textId="77777777" w:rsidR="00B41046" w:rsidRDefault="00B41046" w:rsidP="00472C55">
      <w:r>
        <w:continuationSeparator/>
      </w:r>
    </w:p>
    <w:p w14:paraId="590876EB" w14:textId="77777777" w:rsidR="00B41046" w:rsidRDefault="00B41046"/>
    <w:p w14:paraId="34C701A5" w14:textId="77777777" w:rsidR="00B41046" w:rsidRDefault="00B41046"/>
  </w:endnote>
  <w:endnote w:type="continuationNotice" w:id="1">
    <w:p w14:paraId="2394FD61" w14:textId="77777777" w:rsidR="00B41046" w:rsidRDefault="00B41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Default="00CC62FC" w:rsidP="007068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CC62FC" w:rsidRDefault="00CE1A4F" w:rsidP="00CE1A4F">
    <w:pPr>
      <w:pStyle w:val="Footer"/>
      <w:framePr w:w="1081" w:h="521" w:hRule="exact" w:wrap="none" w:vAnchor="text" w:hAnchor="page" w:x="9961" w:y="27"/>
      <w:jc w:val="right"/>
      <w:rPr>
        <w:rStyle w:val="PageNumber"/>
        <w:rFonts w:ascii="Arial" w:hAnsi="Arial" w:cs="Arial"/>
      </w:rPr>
    </w:pPr>
    <w:r>
      <w:rPr>
        <w:rStyle w:val="PageNumber"/>
        <w:rFonts w:ascii="Arial" w:hAnsi="Arial" w:cs="Arial"/>
      </w:rPr>
      <w:t xml:space="preserve">page </w:t>
    </w:r>
    <w:r w:rsidR="00CC62FC" w:rsidRPr="00CC62FC">
      <w:rPr>
        <w:rStyle w:val="PageNumber"/>
        <w:rFonts w:ascii="Arial" w:hAnsi="Arial" w:cs="Arial"/>
      </w:rPr>
      <w:fldChar w:fldCharType="begin"/>
    </w:r>
    <w:r w:rsidR="00CC62FC" w:rsidRPr="00CC62FC">
      <w:rPr>
        <w:rStyle w:val="PageNumber"/>
        <w:rFonts w:ascii="Arial" w:hAnsi="Arial" w:cs="Arial"/>
      </w:rPr>
      <w:instrText xml:space="preserve"> PAGE </w:instrText>
    </w:r>
    <w:r w:rsidR="00CC62FC" w:rsidRPr="00CC62FC">
      <w:rPr>
        <w:rStyle w:val="PageNumber"/>
        <w:rFonts w:ascii="Arial" w:hAnsi="Arial" w:cs="Arial"/>
      </w:rPr>
      <w:fldChar w:fldCharType="separate"/>
    </w:r>
    <w:r w:rsidR="00CC62FC" w:rsidRPr="00CC62FC">
      <w:rPr>
        <w:rStyle w:val="PageNumber"/>
        <w:rFonts w:ascii="Arial" w:hAnsi="Arial" w:cs="Arial"/>
        <w:noProof/>
      </w:rPr>
      <w:t>2</w:t>
    </w:r>
    <w:r w:rsidR="00CC62FC" w:rsidRPr="00CC62FC">
      <w:rPr>
        <w:rStyle w:val="PageNumber"/>
        <w:rFonts w:ascii="Arial" w:hAnsi="Arial" w:cs="Arial"/>
      </w:rPr>
      <w:fldChar w:fldCharType="end"/>
    </w:r>
  </w:p>
  <w:p w14:paraId="4B58C0DC" w14:textId="4BE43C9E" w:rsidR="00CC62FC" w:rsidRPr="00CE1A4F" w:rsidRDefault="00CE1A4F" w:rsidP="00CC62FC">
    <w:pPr>
      <w:pStyle w:val="Footer"/>
      <w:ind w:right="360"/>
      <w:rPr>
        <w:rFonts w:ascii="Arial" w:hAnsi="Arial" w:cs="Arial"/>
      </w:rPr>
    </w:pPr>
    <w:r w:rsidRPr="00CE1A4F">
      <w:rPr>
        <w:rFonts w:ascii="Arial" w:hAnsi="Arial" w:cs="Arial"/>
      </w:rPr>
      <w:t xml:space="preserve">CYDA’s submission to the </w:t>
    </w:r>
    <w:r>
      <w:rPr>
        <w:rFonts w:ascii="Arial" w:hAnsi="Arial" w:cs="Arial"/>
      </w:rPr>
      <w:t>(</w:t>
    </w:r>
    <w:proofErr w:type="spellStart"/>
    <w:r w:rsidRPr="00CE1A4F">
      <w:rPr>
        <w:rFonts w:ascii="Arial" w:hAnsi="Arial" w:cs="Arial"/>
      </w:rPr>
      <w:t>nsert</w:t>
    </w:r>
    <w:proofErr w:type="spellEnd"/>
    <w:r w:rsidRPr="00CE1A4F">
      <w:rPr>
        <w:rFonts w:ascii="Arial" w:hAnsi="Arial" w:cs="Arial"/>
      </w:rPr>
      <w:t xml:space="preserve"> title of inquiry</w:t>
    </w:r>
    <w:r>
      <w:rPr>
        <w:rFonts w:ascii="Arial" w:hAnsi="Arial" w:cs="Arial"/>
      </w:rPr>
      <w:t>)</w:t>
    </w:r>
    <w:r w:rsidRPr="00CE1A4F">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48CA8D62" w:rsidR="0074674A" w:rsidRDefault="008507B8">
    <w:pPr>
      <w:pStyle w:val="Footer"/>
    </w:pPr>
    <w:r>
      <w:rPr>
        <w:noProof/>
      </w:rPr>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24083544" name="Picture 924083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7E6B" w14:textId="65738826" w:rsidR="005617F7" w:rsidRPr="00CE1A4F" w:rsidRDefault="005617F7" w:rsidP="00A3195B">
    <w:pPr>
      <w:pStyle w:val="Footer"/>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CC62FC" w:rsidRDefault="00A3195B" w:rsidP="00CE1A4F">
    <w:pPr>
      <w:pStyle w:val="Footer"/>
      <w:framePr w:w="1081" w:h="521" w:hRule="exact" w:wrap="none" w:vAnchor="text" w:hAnchor="page" w:x="9961" w:y="27"/>
      <w:jc w:val="right"/>
      <w:rPr>
        <w:rStyle w:val="PageNumber"/>
        <w:rFonts w:ascii="Arial" w:hAnsi="Arial" w:cs="Arial"/>
      </w:rPr>
    </w:pPr>
    <w:r>
      <w:rPr>
        <w:rStyle w:val="PageNumber"/>
        <w:rFonts w:ascii="Arial" w:hAnsi="Arial" w:cs="Arial"/>
      </w:rPr>
      <w:t xml:space="preserve">page </w:t>
    </w: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p w14:paraId="44BEC40A" w14:textId="01C64E3C" w:rsidR="00A3195B" w:rsidRPr="008A5009" w:rsidRDefault="00A3195B" w:rsidP="00CC62FC">
    <w:pPr>
      <w:pStyle w:val="Footer"/>
      <w:ind w:right="360"/>
      <w:rPr>
        <w:rFonts w:ascii="Arial" w:hAnsi="Arial" w:cs="Arial"/>
        <w:sz w:val="20"/>
        <w:szCs w:val="20"/>
      </w:rPr>
    </w:pPr>
    <w:r w:rsidRPr="008A5009">
      <w:rPr>
        <w:rFonts w:ascii="Arial" w:hAnsi="Arial" w:cs="Arial"/>
        <w:sz w:val="20"/>
        <w:szCs w:val="20"/>
      </w:rPr>
      <w:t xml:space="preserve">CYDA’s submission to the </w:t>
    </w:r>
    <w:r w:rsidR="008A5009">
      <w:rPr>
        <w:rFonts w:ascii="Arial" w:hAnsi="Arial" w:cs="Arial"/>
        <w:sz w:val="20"/>
        <w:szCs w:val="20"/>
      </w:rPr>
      <w:t>‘</w:t>
    </w:r>
    <w:r w:rsidR="008A5009" w:rsidRPr="008A5009">
      <w:rPr>
        <w:rFonts w:ascii="Arial" w:hAnsi="Arial" w:cs="Arial"/>
        <w:sz w:val="20"/>
        <w:szCs w:val="20"/>
      </w:rPr>
      <w:t>Modernising and Strengthening TEQSA’s Powers</w:t>
    </w:r>
    <w:r w:rsidR="008A5009">
      <w:rPr>
        <w:rFonts w:ascii="Arial" w:hAnsi="Arial" w:cs="Arial"/>
        <w:sz w:val="20"/>
        <w:szCs w:val="20"/>
      </w:rPr>
      <w:t>’</w:t>
    </w:r>
    <w:r w:rsidR="008A5009" w:rsidRPr="008A5009">
      <w:rPr>
        <w:rFonts w:ascii="Arial" w:hAnsi="Arial" w:cs="Arial"/>
        <w:sz w:val="20"/>
        <w:szCs w:val="20"/>
      </w:rPr>
      <w:t xml:space="preserve">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7EAA" w14:textId="77777777" w:rsidR="00B41046" w:rsidRDefault="00B41046">
      <w:r>
        <w:separator/>
      </w:r>
    </w:p>
    <w:p w14:paraId="156C21FE" w14:textId="77777777" w:rsidR="00B41046" w:rsidRDefault="00B41046"/>
  </w:footnote>
  <w:footnote w:type="continuationSeparator" w:id="0">
    <w:p w14:paraId="4B8FEEC2" w14:textId="77777777" w:rsidR="00B41046" w:rsidRDefault="00B41046" w:rsidP="00472C55">
      <w:r>
        <w:continuationSeparator/>
      </w:r>
    </w:p>
    <w:p w14:paraId="6BC75A5F" w14:textId="77777777" w:rsidR="00B41046" w:rsidRDefault="00B41046"/>
    <w:p w14:paraId="59E2DCCE" w14:textId="77777777" w:rsidR="00B41046" w:rsidRDefault="00B41046"/>
  </w:footnote>
  <w:footnote w:type="continuationNotice" w:id="1">
    <w:p w14:paraId="2D0B39B1" w14:textId="77777777" w:rsidR="00B41046" w:rsidRDefault="00B41046"/>
  </w:footnote>
  <w:footnote w:id="2">
    <w:p w14:paraId="12F1028A" w14:textId="017AB65E" w:rsidR="00134E94" w:rsidRDefault="00134E94">
      <w:pPr>
        <w:pStyle w:val="FootnoteText"/>
      </w:pPr>
      <w:r>
        <w:rPr>
          <w:rStyle w:val="FootnoteReference"/>
        </w:rPr>
        <w:footnoteRef/>
      </w:r>
      <w:r>
        <w:t xml:space="preserve"> </w:t>
      </w:r>
      <w:r w:rsidR="00DA4146">
        <w:t xml:space="preserve">Australian Institute of Health and Welfare (2024), </w:t>
      </w:r>
      <w:hyperlink r:id="rId1" w:anchor="Highest" w:history="1">
        <w:r w:rsidRPr="00134E94">
          <w:rPr>
            <w:rStyle w:val="Hyperlink"/>
          </w:rPr>
          <w:t>People with disability in Australia</w:t>
        </w:r>
        <w:r w:rsidR="002550DB">
          <w:rPr>
            <w:rStyle w:val="Hyperlink"/>
          </w:rPr>
          <w:t xml:space="preserve"> - </w:t>
        </w:r>
        <w:r w:rsidRPr="00134E94">
          <w:rPr>
            <w:rStyle w:val="Hyperlink"/>
          </w:rPr>
          <w:t xml:space="preserve">Educational attainment </w:t>
        </w:r>
      </w:hyperlink>
    </w:p>
  </w:footnote>
  <w:footnote w:id="3">
    <w:p w14:paraId="28B0ACCE" w14:textId="5A81F8F7" w:rsidR="00633D98" w:rsidRDefault="00633D98">
      <w:pPr>
        <w:pStyle w:val="FootnoteText"/>
      </w:pPr>
      <w:r>
        <w:rPr>
          <w:rStyle w:val="FootnoteReference"/>
        </w:rPr>
        <w:footnoteRef/>
      </w:r>
      <w:r w:rsidR="002550DB">
        <w:t xml:space="preserve"> Australian Institute of Health and Welfare (2025),</w:t>
      </w:r>
      <w:r>
        <w:t xml:space="preserve"> </w:t>
      </w:r>
      <w:hyperlink r:id="rId2" w:history="1">
        <w:r w:rsidRPr="00633D98">
          <w:rPr>
            <w:rStyle w:val="Hyperlink"/>
          </w:rPr>
          <w:t xml:space="preserve">Education and learning </w:t>
        </w:r>
      </w:hyperlink>
    </w:p>
  </w:footnote>
  <w:footnote w:id="4">
    <w:p w14:paraId="2833C9C6" w14:textId="3C3D5860" w:rsidR="00AB5DBC" w:rsidRDefault="00AB5DBC">
      <w:pPr>
        <w:pStyle w:val="FootnoteText"/>
      </w:pPr>
      <w:r>
        <w:rPr>
          <w:rStyle w:val="FootnoteReference"/>
        </w:rPr>
        <w:footnoteRef/>
      </w:r>
      <w:r>
        <w:t xml:space="preserve"> </w:t>
      </w:r>
      <w:r w:rsidR="00A43CD5" w:rsidRPr="00A43CD5">
        <w:t>Quality Indicators for Learning and Teaching (QILT)</w:t>
      </w:r>
      <w:r w:rsidR="002550DB">
        <w:t xml:space="preserve"> (2024),</w:t>
      </w:r>
      <w:r w:rsidR="002550DB" w:rsidRPr="002550DB">
        <w:t xml:space="preserve"> </w:t>
      </w:r>
      <w:hyperlink r:id="rId3" w:anchor="report" w:history="1">
        <w:r w:rsidR="002550DB" w:rsidRPr="00AB5DBC">
          <w:rPr>
            <w:rStyle w:val="Hyperlink"/>
          </w:rPr>
          <w:t>Student Experience Survey</w:t>
        </w:r>
      </w:hyperlink>
      <w:r w:rsidR="00646E7C">
        <w:t xml:space="preserve"> page iv</w:t>
      </w:r>
    </w:p>
  </w:footnote>
  <w:footnote w:id="5">
    <w:p w14:paraId="6A43B6B7" w14:textId="4E1642B9" w:rsidR="002337F7" w:rsidRDefault="002337F7" w:rsidP="002337F7">
      <w:pPr>
        <w:pStyle w:val="FootnoteText"/>
      </w:pPr>
      <w:r>
        <w:rPr>
          <w:rStyle w:val="FootnoteReference"/>
        </w:rPr>
        <w:footnoteRef/>
      </w:r>
      <w:r>
        <w:t xml:space="preserve"> </w:t>
      </w:r>
      <w:r w:rsidR="00F32AA9" w:rsidRPr="00A43CD5">
        <w:t>Quality Indicators for Learning and Teaching (QILT)</w:t>
      </w:r>
      <w:r w:rsidR="00C161B1">
        <w:t xml:space="preserve"> (2024), </w:t>
      </w:r>
      <w:hyperlink r:id="rId4" w:anchor="report" w:history="1">
        <w:r w:rsidR="00C161B1" w:rsidRPr="00AB5DBC">
          <w:rPr>
            <w:rStyle w:val="Hyperlink"/>
          </w:rPr>
          <w:t>Student Experience Survey</w:t>
        </w:r>
      </w:hyperlink>
    </w:p>
  </w:footnote>
  <w:footnote w:id="6">
    <w:p w14:paraId="42C5733B" w14:textId="187437B7" w:rsidR="002337F7" w:rsidRDefault="002337F7" w:rsidP="002337F7">
      <w:pPr>
        <w:pStyle w:val="FootnoteText"/>
      </w:pPr>
      <w:r>
        <w:rPr>
          <w:rStyle w:val="FootnoteReference"/>
        </w:rPr>
        <w:footnoteRef/>
      </w:r>
      <w:r w:rsidR="00646E7C">
        <w:t xml:space="preserve"> CYDA</w:t>
      </w:r>
      <w:r w:rsidR="00C161B1">
        <w:t xml:space="preserve"> (2022),</w:t>
      </w:r>
      <w:r w:rsidR="00C161B1" w:rsidRPr="00C161B1">
        <w:t xml:space="preserve"> </w:t>
      </w:r>
      <w:hyperlink r:id="rId5" w:history="1">
        <w:proofErr w:type="spellStart"/>
        <w:r w:rsidR="00C161B1" w:rsidRPr="00D66AAF">
          <w:rPr>
            <w:rStyle w:val="Hyperlink"/>
          </w:rPr>
          <w:t>LivedX</w:t>
        </w:r>
        <w:proofErr w:type="spellEnd"/>
        <w:r w:rsidR="00C161B1" w:rsidRPr="00D66AAF">
          <w:rPr>
            <w:rStyle w:val="Hyperlink"/>
          </w:rPr>
          <w:t xml:space="preserve"> Series: What Young People Said (Tertiary Education and Learning)</w:t>
        </w:r>
      </w:hyperlink>
      <w:r w:rsidR="00C161B1">
        <w:t xml:space="preserve"> </w:t>
      </w:r>
      <w:r w:rsidR="00646E7C">
        <w:t>page 12</w:t>
      </w:r>
    </w:p>
  </w:footnote>
  <w:footnote w:id="7">
    <w:p w14:paraId="2BE275BA" w14:textId="77777777" w:rsidR="002337F7" w:rsidRDefault="002337F7" w:rsidP="002337F7">
      <w:pPr>
        <w:pStyle w:val="FootnoteText"/>
      </w:pPr>
      <w:r>
        <w:rPr>
          <w:rStyle w:val="FootnoteReference"/>
        </w:rPr>
        <w:footnoteRef/>
      </w:r>
      <w:r>
        <w:t xml:space="preserve"> </w:t>
      </w:r>
      <w:hyperlink r:id="rId6" w:history="1">
        <w:proofErr w:type="spellStart"/>
        <w:r w:rsidRPr="00371105">
          <w:rPr>
            <w:rStyle w:val="Hyperlink"/>
          </w:rPr>
          <w:t>ComparED</w:t>
        </w:r>
        <w:proofErr w:type="spellEnd"/>
        <w:r w:rsidRPr="00371105">
          <w:rPr>
            <w:rStyle w:val="Hyperlink"/>
          </w:rPr>
          <w:t xml:space="preserve"> - Compare</w:t>
        </w:r>
      </w:hyperlink>
    </w:p>
  </w:footnote>
  <w:footnote w:id="8">
    <w:p w14:paraId="753E7B41" w14:textId="7A444341" w:rsidR="002414D2" w:rsidRDefault="002414D2">
      <w:pPr>
        <w:pStyle w:val="FootnoteText"/>
      </w:pPr>
      <w:r>
        <w:rPr>
          <w:rStyle w:val="FootnoteReference"/>
        </w:rPr>
        <w:footnoteRef/>
      </w:r>
      <w:r>
        <w:t xml:space="preserve"> </w:t>
      </w:r>
      <w:r w:rsidR="001B15A1">
        <w:t xml:space="preserve">Pitman </w:t>
      </w:r>
      <w:r w:rsidR="008A5E45">
        <w:t xml:space="preserve">(2020), </w:t>
      </w:r>
      <w:hyperlink r:id="rId7" w:history="1">
        <w:r w:rsidR="003C35C4" w:rsidRPr="003C35C4">
          <w:rPr>
            <w:rStyle w:val="Hyperlink"/>
          </w:rPr>
          <w:t>Supporting Persons with Disabilities to Succeed in Higher Education</w:t>
        </w:r>
      </w:hyperlink>
      <w:r w:rsidR="00C337FC">
        <w:t xml:space="preserve"> </w:t>
      </w:r>
    </w:p>
  </w:footnote>
  <w:footnote w:id="9">
    <w:p w14:paraId="067EABCD" w14:textId="27D51A83" w:rsidR="00B87177" w:rsidRDefault="00B87177">
      <w:pPr>
        <w:pStyle w:val="FootnoteText"/>
      </w:pPr>
      <w:r>
        <w:rPr>
          <w:rStyle w:val="FootnoteReference"/>
        </w:rPr>
        <w:footnoteRef/>
      </w:r>
      <w:r w:rsidR="00D66AAF">
        <w:t xml:space="preserve"> </w:t>
      </w:r>
      <w:r w:rsidR="008A5E45">
        <w:t xml:space="preserve">Jwad, O’Donovan et al. (2022), </w:t>
      </w:r>
      <w:hyperlink r:id="rId8" w:history="1">
        <w:r w:rsidR="00D66AAF" w:rsidRPr="00D66AAF">
          <w:rPr>
            <w:rStyle w:val="Hyperlink"/>
          </w:rPr>
          <w:t>Universal Design for Learning in Tertiary Education</w:t>
        </w:r>
      </w:hyperlink>
      <w:r w:rsidR="00D66AAF">
        <w:t xml:space="preserve"> </w:t>
      </w:r>
    </w:p>
  </w:footnote>
  <w:footnote w:id="10">
    <w:p w14:paraId="799F17E0" w14:textId="55900C51" w:rsidR="00B87177" w:rsidRDefault="00B87177">
      <w:pPr>
        <w:pStyle w:val="FootnoteText"/>
      </w:pPr>
      <w:r>
        <w:rPr>
          <w:rStyle w:val="FootnoteReference"/>
        </w:rPr>
        <w:footnoteRef/>
      </w:r>
      <w:r>
        <w:t xml:space="preserve"> </w:t>
      </w:r>
      <w:r w:rsidR="0065459C">
        <w:t>ATEND (2024)</w:t>
      </w:r>
      <w:r w:rsidR="008A5E45">
        <w:t>,</w:t>
      </w:r>
      <w:r w:rsidR="008A5E45" w:rsidRPr="008A5E45">
        <w:t xml:space="preserve"> </w:t>
      </w:r>
      <w:hyperlink r:id="rId9" w:history="1">
        <w:r w:rsidR="008A5E45" w:rsidRPr="00B87177">
          <w:rPr>
            <w:rStyle w:val="Hyperlink"/>
          </w:rPr>
          <w:t>Ableism in the Universities Accord</w:t>
        </w:r>
      </w:hyperlink>
    </w:p>
  </w:footnote>
  <w:footnote w:id="11">
    <w:p w14:paraId="31D73F29" w14:textId="0479946E" w:rsidR="002F339A" w:rsidRDefault="002F339A">
      <w:pPr>
        <w:pStyle w:val="FootnoteText"/>
      </w:pPr>
      <w:r>
        <w:rPr>
          <w:rStyle w:val="FootnoteReference"/>
        </w:rPr>
        <w:footnoteRef/>
      </w:r>
      <w:r>
        <w:t xml:space="preserve"> </w:t>
      </w:r>
      <w:r w:rsidR="000C782F">
        <w:t>CYDA</w:t>
      </w:r>
      <w:r w:rsidR="008A5E45">
        <w:t xml:space="preserve"> (2022)</w:t>
      </w:r>
      <w:r w:rsidR="000C782F">
        <w:t xml:space="preserve">, </w:t>
      </w:r>
      <w:hyperlink r:id="rId10" w:history="1">
        <w:proofErr w:type="spellStart"/>
        <w:r w:rsidR="008A5E45" w:rsidRPr="00D66AAF">
          <w:rPr>
            <w:rStyle w:val="Hyperlink"/>
          </w:rPr>
          <w:t>LivedX</w:t>
        </w:r>
        <w:proofErr w:type="spellEnd"/>
        <w:r w:rsidR="008A5E45" w:rsidRPr="00D66AAF">
          <w:rPr>
            <w:rStyle w:val="Hyperlink"/>
          </w:rPr>
          <w:t xml:space="preserve"> Series: What Young People Said (Tertiary Education and Learning)</w:t>
        </w:r>
      </w:hyperlink>
      <w:r w:rsidR="008A5E45">
        <w:t xml:space="preserve"> </w:t>
      </w:r>
      <w:r w:rsidR="000C782F">
        <w:t>page 11</w:t>
      </w:r>
    </w:p>
  </w:footnote>
  <w:footnote w:id="12">
    <w:p w14:paraId="43894175" w14:textId="60D8B689" w:rsidR="00534767" w:rsidRDefault="00534767">
      <w:pPr>
        <w:pStyle w:val="FootnoteText"/>
      </w:pPr>
      <w:r>
        <w:rPr>
          <w:rStyle w:val="FootnoteReference"/>
        </w:rPr>
        <w:footnoteRef/>
      </w:r>
      <w:r>
        <w:t xml:space="preserve"> </w:t>
      </w:r>
      <w:r w:rsidR="000E251A">
        <w:t>Brett, Harvey et al (2016),</w:t>
      </w:r>
      <w:hyperlink r:id="rId11" w:history="1">
        <w:r w:rsidRPr="00534767">
          <w:rPr>
            <w:rStyle w:val="Hyperlink"/>
          </w:rPr>
          <w:t>The Role of Inherent Requirement Statements In Australian Universities</w:t>
        </w:r>
      </w:hyperlink>
      <w:r w:rsidR="0093638F">
        <w:t xml:space="preserve"> </w:t>
      </w:r>
    </w:p>
  </w:footnote>
  <w:footnote w:id="13">
    <w:p w14:paraId="1075CC62" w14:textId="45B5B23D" w:rsidR="00153F2F" w:rsidRDefault="00153F2F">
      <w:pPr>
        <w:pStyle w:val="FootnoteText"/>
      </w:pPr>
      <w:r>
        <w:rPr>
          <w:rStyle w:val="FootnoteReference"/>
        </w:rPr>
        <w:footnoteRef/>
      </w:r>
      <w:r>
        <w:t xml:space="preserve"> </w:t>
      </w:r>
      <w:r w:rsidR="00CB6220">
        <w:t xml:space="preserve">National Disability Service (2024), </w:t>
      </w:r>
      <w:hyperlink r:id="rId12" w:history="1">
        <w:r w:rsidRPr="00153F2F">
          <w:rPr>
            <w:rStyle w:val="Hyperlink"/>
          </w:rPr>
          <w:t>Customised</w:t>
        </w:r>
        <w:r w:rsidR="00852C18">
          <w:rPr>
            <w:rStyle w:val="Hyperlink"/>
          </w:rPr>
          <w:t xml:space="preserve"> </w:t>
        </w:r>
        <w:r w:rsidRPr="00153F2F">
          <w:rPr>
            <w:rStyle w:val="Hyperlink"/>
          </w:rPr>
          <w:t>Employment</w:t>
        </w:r>
        <w:r w:rsidR="00852C18">
          <w:rPr>
            <w:rStyle w:val="Hyperlink"/>
          </w:rPr>
          <w:t xml:space="preserve"> </w:t>
        </w:r>
      </w:hyperlink>
    </w:p>
  </w:footnote>
  <w:footnote w:id="14">
    <w:p w14:paraId="77BC75C7" w14:textId="7C04E8BF" w:rsidR="00A47354" w:rsidRDefault="00A47354">
      <w:pPr>
        <w:pStyle w:val="FootnoteText"/>
      </w:pPr>
      <w:r>
        <w:rPr>
          <w:rStyle w:val="FootnoteReference"/>
        </w:rPr>
        <w:footnoteRef/>
      </w:r>
      <w:r>
        <w:t xml:space="preserve"> </w:t>
      </w:r>
      <w:r w:rsidR="00A37EC5" w:rsidRPr="00A37EC5">
        <w:t>Commonwealth of Australia (Department of Social Services)</w:t>
      </w:r>
      <w:r w:rsidR="00CB6220" w:rsidRPr="00CB6220">
        <w:t xml:space="preserve"> </w:t>
      </w:r>
      <w:r w:rsidR="00CB6220">
        <w:t xml:space="preserve">(2024), </w:t>
      </w:r>
      <w:hyperlink r:id="rId13" w:history="1">
        <w:r w:rsidR="00CB6220" w:rsidRPr="00CB6220">
          <w:rPr>
            <w:rStyle w:val="Hyperlink"/>
          </w:rPr>
          <w:t>Australia’s National Disability Strategy 2024 update: Building a more inclusive Australia</w:t>
        </w:r>
      </w:hyperlink>
    </w:p>
  </w:footnote>
  <w:footnote w:id="15">
    <w:p w14:paraId="159B274E" w14:textId="77F8A176" w:rsidR="00A2718E" w:rsidRDefault="00A2718E" w:rsidP="00A2718E">
      <w:pPr>
        <w:pStyle w:val="FootnoteText"/>
      </w:pPr>
      <w:r>
        <w:rPr>
          <w:rStyle w:val="FootnoteReference"/>
        </w:rPr>
        <w:footnoteRef/>
      </w:r>
      <w:r>
        <w:t xml:space="preserve"> </w:t>
      </w:r>
      <w:r w:rsidR="006A44E7">
        <w:t xml:space="preserve">CYDA (2022), </w:t>
      </w:r>
      <w:hyperlink r:id="rId14" w:history="1">
        <w:proofErr w:type="spellStart"/>
        <w:r w:rsidR="006A44E7" w:rsidRPr="00D66AAF">
          <w:rPr>
            <w:rStyle w:val="Hyperlink"/>
          </w:rPr>
          <w:t>LivedX</w:t>
        </w:r>
        <w:proofErr w:type="spellEnd"/>
        <w:r w:rsidR="006A44E7" w:rsidRPr="00D66AAF">
          <w:rPr>
            <w:rStyle w:val="Hyperlink"/>
          </w:rPr>
          <w:t xml:space="preserve"> Series: What Young People Said (Tertiary Education and Learning)</w:t>
        </w:r>
      </w:hyperlink>
      <w:r w:rsidR="006A44E7">
        <w:t xml:space="preserve"> page 12</w:t>
      </w:r>
    </w:p>
  </w:footnote>
  <w:footnote w:id="16">
    <w:p w14:paraId="03E03C85" w14:textId="52896036" w:rsidR="00F83779" w:rsidRDefault="00F83779">
      <w:pPr>
        <w:pStyle w:val="FootnoteText"/>
      </w:pPr>
      <w:r>
        <w:rPr>
          <w:rStyle w:val="FootnoteReference"/>
        </w:rPr>
        <w:footnoteRef/>
      </w:r>
      <w:r>
        <w:t xml:space="preserve"> </w:t>
      </w:r>
      <w:r w:rsidR="006A44E7" w:rsidRPr="00A37EC5">
        <w:t>Commonwealth of Australia (Department of Social Services)</w:t>
      </w:r>
      <w:r w:rsidR="006A44E7" w:rsidRPr="00CB6220">
        <w:t xml:space="preserve"> </w:t>
      </w:r>
      <w:r w:rsidR="006A44E7">
        <w:t xml:space="preserve">(2024), </w:t>
      </w:r>
      <w:hyperlink r:id="rId15" w:history="1">
        <w:r w:rsidR="006A44E7" w:rsidRPr="00CB6220">
          <w:rPr>
            <w:rStyle w:val="Hyperlink"/>
          </w:rPr>
          <w:t>Australia’s National Disability Strategy 2024 update: Building a more inclusive Australia</w:t>
        </w:r>
      </w:hyperlink>
      <w:r w:rsidR="006A44E7">
        <w:t xml:space="preserve"> page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Default="008507B8" w:rsidP="00472C55">
    <w:pPr>
      <w:pStyle w:val="Header"/>
    </w:pPr>
    <w:r>
      <w:rPr>
        <w:noProof/>
      </w:rPr>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926305922" name="Picture 926305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D903D00"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31E"/>
    <w:multiLevelType w:val="hybridMultilevel"/>
    <w:tmpl w:val="71262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9006CF9"/>
    <w:multiLevelType w:val="hybridMultilevel"/>
    <w:tmpl w:val="EFFE82B2"/>
    <w:lvl w:ilvl="0" w:tplc="EE9A3CC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BF32AC"/>
    <w:multiLevelType w:val="hybridMultilevel"/>
    <w:tmpl w:val="D4D22242"/>
    <w:lvl w:ilvl="0" w:tplc="9EA80C7E">
      <w:start w:val="1"/>
      <w:numFmt w:val="bullet"/>
      <w:lvlText w:val=""/>
      <w:lvlJc w:val="left"/>
      <w:pPr>
        <w:ind w:left="720" w:hanging="360"/>
      </w:pPr>
      <w:rPr>
        <w:rFonts w:ascii="Symbol" w:hAnsi="Symbol" w:hint="default"/>
      </w:rPr>
    </w:lvl>
    <w:lvl w:ilvl="1" w:tplc="B1187830">
      <w:start w:val="1"/>
      <w:numFmt w:val="bullet"/>
      <w:lvlText w:val="o"/>
      <w:lvlJc w:val="left"/>
      <w:pPr>
        <w:ind w:left="1440" w:hanging="360"/>
      </w:pPr>
      <w:rPr>
        <w:rFonts w:ascii="Courier New" w:hAnsi="Courier New" w:hint="default"/>
      </w:rPr>
    </w:lvl>
    <w:lvl w:ilvl="2" w:tplc="39E46AE4">
      <w:start w:val="1"/>
      <w:numFmt w:val="bullet"/>
      <w:lvlText w:val=""/>
      <w:lvlJc w:val="left"/>
      <w:pPr>
        <w:ind w:left="2160" w:hanging="360"/>
      </w:pPr>
      <w:rPr>
        <w:rFonts w:ascii="Wingdings" w:hAnsi="Wingdings" w:hint="default"/>
      </w:rPr>
    </w:lvl>
    <w:lvl w:ilvl="3" w:tplc="38AA2D14">
      <w:start w:val="1"/>
      <w:numFmt w:val="bullet"/>
      <w:lvlText w:val=""/>
      <w:lvlJc w:val="left"/>
      <w:pPr>
        <w:ind w:left="2880" w:hanging="360"/>
      </w:pPr>
      <w:rPr>
        <w:rFonts w:ascii="Symbol" w:hAnsi="Symbol" w:hint="default"/>
      </w:rPr>
    </w:lvl>
    <w:lvl w:ilvl="4" w:tplc="A7864E66">
      <w:start w:val="1"/>
      <w:numFmt w:val="bullet"/>
      <w:lvlText w:val="o"/>
      <w:lvlJc w:val="left"/>
      <w:pPr>
        <w:ind w:left="3600" w:hanging="360"/>
      </w:pPr>
      <w:rPr>
        <w:rFonts w:ascii="Courier New" w:hAnsi="Courier New" w:hint="default"/>
      </w:rPr>
    </w:lvl>
    <w:lvl w:ilvl="5" w:tplc="3812876E">
      <w:start w:val="1"/>
      <w:numFmt w:val="bullet"/>
      <w:lvlText w:val=""/>
      <w:lvlJc w:val="left"/>
      <w:pPr>
        <w:ind w:left="4320" w:hanging="360"/>
      </w:pPr>
      <w:rPr>
        <w:rFonts w:ascii="Wingdings" w:hAnsi="Wingdings" w:hint="default"/>
      </w:rPr>
    </w:lvl>
    <w:lvl w:ilvl="6" w:tplc="223A5B86">
      <w:start w:val="1"/>
      <w:numFmt w:val="bullet"/>
      <w:lvlText w:val=""/>
      <w:lvlJc w:val="left"/>
      <w:pPr>
        <w:ind w:left="5040" w:hanging="360"/>
      </w:pPr>
      <w:rPr>
        <w:rFonts w:ascii="Symbol" w:hAnsi="Symbol" w:hint="default"/>
      </w:rPr>
    </w:lvl>
    <w:lvl w:ilvl="7" w:tplc="A516CA48">
      <w:start w:val="1"/>
      <w:numFmt w:val="bullet"/>
      <w:lvlText w:val="o"/>
      <w:lvlJc w:val="left"/>
      <w:pPr>
        <w:ind w:left="5760" w:hanging="360"/>
      </w:pPr>
      <w:rPr>
        <w:rFonts w:ascii="Courier New" w:hAnsi="Courier New" w:hint="default"/>
      </w:rPr>
    </w:lvl>
    <w:lvl w:ilvl="8" w:tplc="CE3E95FC">
      <w:start w:val="1"/>
      <w:numFmt w:val="bullet"/>
      <w:lvlText w:val=""/>
      <w:lvlJc w:val="left"/>
      <w:pPr>
        <w:ind w:left="6480" w:hanging="360"/>
      </w:pPr>
      <w:rPr>
        <w:rFonts w:ascii="Wingdings" w:hAnsi="Wingdings" w:hint="default"/>
      </w:rPr>
    </w:lvl>
  </w:abstractNum>
  <w:abstractNum w:abstractNumId="5" w15:restartNumberingAfterBreak="0">
    <w:nsid w:val="21929A8B"/>
    <w:multiLevelType w:val="hybridMultilevel"/>
    <w:tmpl w:val="776616E6"/>
    <w:lvl w:ilvl="0" w:tplc="F8161512">
      <w:start w:val="1"/>
      <w:numFmt w:val="bullet"/>
      <w:lvlText w:val="·"/>
      <w:lvlJc w:val="left"/>
      <w:pPr>
        <w:ind w:left="720" w:hanging="360"/>
      </w:pPr>
      <w:rPr>
        <w:rFonts w:ascii="Symbol" w:hAnsi="Symbol" w:hint="default"/>
      </w:rPr>
    </w:lvl>
    <w:lvl w:ilvl="1" w:tplc="DAE410FA">
      <w:start w:val="1"/>
      <w:numFmt w:val="bullet"/>
      <w:lvlText w:val="o"/>
      <w:lvlJc w:val="left"/>
      <w:pPr>
        <w:ind w:left="1440" w:hanging="360"/>
      </w:pPr>
      <w:rPr>
        <w:rFonts w:ascii="Courier New" w:hAnsi="Courier New" w:hint="default"/>
      </w:rPr>
    </w:lvl>
    <w:lvl w:ilvl="2" w:tplc="B0C87420">
      <w:start w:val="1"/>
      <w:numFmt w:val="bullet"/>
      <w:lvlText w:val=""/>
      <w:lvlJc w:val="left"/>
      <w:pPr>
        <w:ind w:left="2160" w:hanging="360"/>
      </w:pPr>
      <w:rPr>
        <w:rFonts w:ascii="Wingdings" w:hAnsi="Wingdings" w:hint="default"/>
      </w:rPr>
    </w:lvl>
    <w:lvl w:ilvl="3" w:tplc="4ED0D37C">
      <w:start w:val="1"/>
      <w:numFmt w:val="bullet"/>
      <w:lvlText w:val=""/>
      <w:lvlJc w:val="left"/>
      <w:pPr>
        <w:ind w:left="2880" w:hanging="360"/>
      </w:pPr>
      <w:rPr>
        <w:rFonts w:ascii="Symbol" w:hAnsi="Symbol" w:hint="default"/>
      </w:rPr>
    </w:lvl>
    <w:lvl w:ilvl="4" w:tplc="F6ACDFDC">
      <w:start w:val="1"/>
      <w:numFmt w:val="bullet"/>
      <w:lvlText w:val="o"/>
      <w:lvlJc w:val="left"/>
      <w:pPr>
        <w:ind w:left="3600" w:hanging="360"/>
      </w:pPr>
      <w:rPr>
        <w:rFonts w:ascii="Courier New" w:hAnsi="Courier New" w:hint="default"/>
      </w:rPr>
    </w:lvl>
    <w:lvl w:ilvl="5" w:tplc="820C9592">
      <w:start w:val="1"/>
      <w:numFmt w:val="bullet"/>
      <w:lvlText w:val=""/>
      <w:lvlJc w:val="left"/>
      <w:pPr>
        <w:ind w:left="4320" w:hanging="360"/>
      </w:pPr>
      <w:rPr>
        <w:rFonts w:ascii="Wingdings" w:hAnsi="Wingdings" w:hint="default"/>
      </w:rPr>
    </w:lvl>
    <w:lvl w:ilvl="6" w:tplc="9CB8CCFC">
      <w:start w:val="1"/>
      <w:numFmt w:val="bullet"/>
      <w:lvlText w:val=""/>
      <w:lvlJc w:val="left"/>
      <w:pPr>
        <w:ind w:left="5040" w:hanging="360"/>
      </w:pPr>
      <w:rPr>
        <w:rFonts w:ascii="Symbol" w:hAnsi="Symbol" w:hint="default"/>
      </w:rPr>
    </w:lvl>
    <w:lvl w:ilvl="7" w:tplc="78E216C8">
      <w:start w:val="1"/>
      <w:numFmt w:val="bullet"/>
      <w:lvlText w:val="o"/>
      <w:lvlJc w:val="left"/>
      <w:pPr>
        <w:ind w:left="5760" w:hanging="360"/>
      </w:pPr>
      <w:rPr>
        <w:rFonts w:ascii="Courier New" w:hAnsi="Courier New" w:hint="default"/>
      </w:rPr>
    </w:lvl>
    <w:lvl w:ilvl="8" w:tplc="52F27BAE">
      <w:start w:val="1"/>
      <w:numFmt w:val="bullet"/>
      <w:lvlText w:val=""/>
      <w:lvlJc w:val="left"/>
      <w:pPr>
        <w:ind w:left="6480" w:hanging="360"/>
      </w:pPr>
      <w:rPr>
        <w:rFonts w:ascii="Wingdings" w:hAnsi="Wingdings" w:hint="default"/>
      </w:rPr>
    </w:lvl>
  </w:abstractNum>
  <w:abstractNum w:abstractNumId="6"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510F8"/>
    <w:multiLevelType w:val="hybridMultilevel"/>
    <w:tmpl w:val="5DBEA6EA"/>
    <w:lvl w:ilvl="0" w:tplc="D0F4A5CE">
      <w:start w:val="1"/>
      <w:numFmt w:val="decimal"/>
      <w:lvlText w:val="%1."/>
      <w:lvlJc w:val="left"/>
      <w:pPr>
        <w:ind w:left="1260" w:hanging="360"/>
      </w:pPr>
    </w:lvl>
    <w:lvl w:ilvl="1" w:tplc="592EC962">
      <w:start w:val="1"/>
      <w:numFmt w:val="decimal"/>
      <w:lvlText w:val="%2."/>
      <w:lvlJc w:val="left"/>
      <w:pPr>
        <w:ind w:left="1260" w:hanging="360"/>
      </w:pPr>
    </w:lvl>
    <w:lvl w:ilvl="2" w:tplc="4A0AF266">
      <w:start w:val="1"/>
      <w:numFmt w:val="decimal"/>
      <w:lvlText w:val="%3."/>
      <w:lvlJc w:val="left"/>
      <w:pPr>
        <w:ind w:left="1260" w:hanging="360"/>
      </w:pPr>
    </w:lvl>
    <w:lvl w:ilvl="3" w:tplc="BFA49F1C">
      <w:start w:val="1"/>
      <w:numFmt w:val="decimal"/>
      <w:lvlText w:val="%4."/>
      <w:lvlJc w:val="left"/>
      <w:pPr>
        <w:ind w:left="1260" w:hanging="360"/>
      </w:pPr>
    </w:lvl>
    <w:lvl w:ilvl="4" w:tplc="7004C598">
      <w:start w:val="1"/>
      <w:numFmt w:val="decimal"/>
      <w:lvlText w:val="%5."/>
      <w:lvlJc w:val="left"/>
      <w:pPr>
        <w:ind w:left="1260" w:hanging="360"/>
      </w:pPr>
    </w:lvl>
    <w:lvl w:ilvl="5" w:tplc="E4F6503E">
      <w:start w:val="1"/>
      <w:numFmt w:val="decimal"/>
      <w:lvlText w:val="%6."/>
      <w:lvlJc w:val="left"/>
      <w:pPr>
        <w:ind w:left="1260" w:hanging="360"/>
      </w:pPr>
    </w:lvl>
    <w:lvl w:ilvl="6" w:tplc="D1482D5A">
      <w:start w:val="1"/>
      <w:numFmt w:val="decimal"/>
      <w:lvlText w:val="%7."/>
      <w:lvlJc w:val="left"/>
      <w:pPr>
        <w:ind w:left="1260" w:hanging="360"/>
      </w:pPr>
    </w:lvl>
    <w:lvl w:ilvl="7" w:tplc="25664442">
      <w:start w:val="1"/>
      <w:numFmt w:val="decimal"/>
      <w:lvlText w:val="%8."/>
      <w:lvlJc w:val="left"/>
      <w:pPr>
        <w:ind w:left="1260" w:hanging="360"/>
      </w:pPr>
    </w:lvl>
    <w:lvl w:ilvl="8" w:tplc="11EAA3D8">
      <w:start w:val="1"/>
      <w:numFmt w:val="decimal"/>
      <w:lvlText w:val="%9."/>
      <w:lvlJc w:val="left"/>
      <w:pPr>
        <w:ind w:left="1260" w:hanging="360"/>
      </w:pPr>
    </w:lvl>
  </w:abstractNum>
  <w:abstractNum w:abstractNumId="8" w15:restartNumberingAfterBreak="0">
    <w:nsid w:val="3FE50533"/>
    <w:multiLevelType w:val="hybridMultilevel"/>
    <w:tmpl w:val="CB3A27B6"/>
    <w:lvl w:ilvl="0" w:tplc="FAAAF57C">
      <w:start w:val="1"/>
      <w:numFmt w:val="bullet"/>
      <w:lvlText w:val=""/>
      <w:lvlJc w:val="left"/>
      <w:pPr>
        <w:ind w:left="720" w:hanging="360"/>
      </w:pPr>
      <w:rPr>
        <w:rFonts w:ascii="Symbol" w:hAnsi="Symbol" w:hint="default"/>
      </w:rPr>
    </w:lvl>
    <w:lvl w:ilvl="1" w:tplc="54C21DD8">
      <w:start w:val="1"/>
      <w:numFmt w:val="bullet"/>
      <w:lvlText w:val="o"/>
      <w:lvlJc w:val="left"/>
      <w:pPr>
        <w:ind w:left="1440" w:hanging="360"/>
      </w:pPr>
      <w:rPr>
        <w:rFonts w:ascii="Courier New" w:hAnsi="Courier New" w:hint="default"/>
      </w:rPr>
    </w:lvl>
    <w:lvl w:ilvl="2" w:tplc="597A0A0A">
      <w:start w:val="1"/>
      <w:numFmt w:val="bullet"/>
      <w:lvlText w:val=""/>
      <w:lvlJc w:val="left"/>
      <w:pPr>
        <w:ind w:left="2160" w:hanging="360"/>
      </w:pPr>
      <w:rPr>
        <w:rFonts w:ascii="Wingdings" w:hAnsi="Wingdings" w:hint="default"/>
      </w:rPr>
    </w:lvl>
    <w:lvl w:ilvl="3" w:tplc="70D4DA4C">
      <w:start w:val="1"/>
      <w:numFmt w:val="bullet"/>
      <w:lvlText w:val=""/>
      <w:lvlJc w:val="left"/>
      <w:pPr>
        <w:ind w:left="2880" w:hanging="360"/>
      </w:pPr>
      <w:rPr>
        <w:rFonts w:ascii="Symbol" w:hAnsi="Symbol" w:hint="default"/>
      </w:rPr>
    </w:lvl>
    <w:lvl w:ilvl="4" w:tplc="2DDE166A">
      <w:start w:val="1"/>
      <w:numFmt w:val="bullet"/>
      <w:lvlText w:val="o"/>
      <w:lvlJc w:val="left"/>
      <w:pPr>
        <w:ind w:left="3600" w:hanging="360"/>
      </w:pPr>
      <w:rPr>
        <w:rFonts w:ascii="Courier New" w:hAnsi="Courier New" w:hint="default"/>
      </w:rPr>
    </w:lvl>
    <w:lvl w:ilvl="5" w:tplc="69B020C2">
      <w:start w:val="1"/>
      <w:numFmt w:val="bullet"/>
      <w:lvlText w:val=""/>
      <w:lvlJc w:val="left"/>
      <w:pPr>
        <w:ind w:left="4320" w:hanging="360"/>
      </w:pPr>
      <w:rPr>
        <w:rFonts w:ascii="Wingdings" w:hAnsi="Wingdings" w:hint="default"/>
      </w:rPr>
    </w:lvl>
    <w:lvl w:ilvl="6" w:tplc="F91ADFB8">
      <w:start w:val="1"/>
      <w:numFmt w:val="bullet"/>
      <w:lvlText w:val=""/>
      <w:lvlJc w:val="left"/>
      <w:pPr>
        <w:ind w:left="5040" w:hanging="360"/>
      </w:pPr>
      <w:rPr>
        <w:rFonts w:ascii="Symbol" w:hAnsi="Symbol" w:hint="default"/>
      </w:rPr>
    </w:lvl>
    <w:lvl w:ilvl="7" w:tplc="2A0EA518">
      <w:start w:val="1"/>
      <w:numFmt w:val="bullet"/>
      <w:lvlText w:val="o"/>
      <w:lvlJc w:val="left"/>
      <w:pPr>
        <w:ind w:left="5760" w:hanging="360"/>
      </w:pPr>
      <w:rPr>
        <w:rFonts w:ascii="Courier New" w:hAnsi="Courier New" w:hint="default"/>
      </w:rPr>
    </w:lvl>
    <w:lvl w:ilvl="8" w:tplc="2586E148">
      <w:start w:val="1"/>
      <w:numFmt w:val="bullet"/>
      <w:lvlText w:val=""/>
      <w:lvlJc w:val="left"/>
      <w:pPr>
        <w:ind w:left="6480" w:hanging="360"/>
      </w:pPr>
      <w:rPr>
        <w:rFonts w:ascii="Wingdings" w:hAnsi="Wingdings" w:hint="default"/>
      </w:rPr>
    </w:lvl>
  </w:abstractNum>
  <w:abstractNum w:abstractNumId="9" w15:restartNumberingAfterBreak="0">
    <w:nsid w:val="402A4846"/>
    <w:multiLevelType w:val="hybridMultilevel"/>
    <w:tmpl w:val="BBBCB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734A5"/>
    <w:multiLevelType w:val="hybridMultilevel"/>
    <w:tmpl w:val="562C6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A67100"/>
    <w:multiLevelType w:val="hybridMultilevel"/>
    <w:tmpl w:val="B0C4F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68EF2"/>
    <w:multiLevelType w:val="hybridMultilevel"/>
    <w:tmpl w:val="0DE6A462"/>
    <w:lvl w:ilvl="0" w:tplc="C13A5D88">
      <w:start w:val="1"/>
      <w:numFmt w:val="bullet"/>
      <w:lvlText w:val="·"/>
      <w:lvlJc w:val="left"/>
      <w:pPr>
        <w:ind w:left="720" w:hanging="360"/>
      </w:pPr>
      <w:rPr>
        <w:rFonts w:ascii="Symbol" w:hAnsi="Symbol" w:hint="default"/>
      </w:rPr>
    </w:lvl>
    <w:lvl w:ilvl="1" w:tplc="AC7EDE36">
      <w:start w:val="1"/>
      <w:numFmt w:val="bullet"/>
      <w:lvlText w:val="o"/>
      <w:lvlJc w:val="left"/>
      <w:pPr>
        <w:ind w:left="1440" w:hanging="360"/>
      </w:pPr>
      <w:rPr>
        <w:rFonts w:ascii="Courier New" w:hAnsi="Courier New" w:hint="default"/>
      </w:rPr>
    </w:lvl>
    <w:lvl w:ilvl="2" w:tplc="697C32C0">
      <w:start w:val="1"/>
      <w:numFmt w:val="bullet"/>
      <w:lvlText w:val=""/>
      <w:lvlJc w:val="left"/>
      <w:pPr>
        <w:ind w:left="2160" w:hanging="360"/>
      </w:pPr>
      <w:rPr>
        <w:rFonts w:ascii="Wingdings" w:hAnsi="Wingdings" w:hint="default"/>
      </w:rPr>
    </w:lvl>
    <w:lvl w:ilvl="3" w:tplc="66006F0A">
      <w:start w:val="1"/>
      <w:numFmt w:val="bullet"/>
      <w:lvlText w:val=""/>
      <w:lvlJc w:val="left"/>
      <w:pPr>
        <w:ind w:left="2880" w:hanging="360"/>
      </w:pPr>
      <w:rPr>
        <w:rFonts w:ascii="Symbol" w:hAnsi="Symbol" w:hint="default"/>
      </w:rPr>
    </w:lvl>
    <w:lvl w:ilvl="4" w:tplc="38A20BD0">
      <w:start w:val="1"/>
      <w:numFmt w:val="bullet"/>
      <w:lvlText w:val="o"/>
      <w:lvlJc w:val="left"/>
      <w:pPr>
        <w:ind w:left="3600" w:hanging="360"/>
      </w:pPr>
      <w:rPr>
        <w:rFonts w:ascii="Courier New" w:hAnsi="Courier New" w:hint="default"/>
      </w:rPr>
    </w:lvl>
    <w:lvl w:ilvl="5" w:tplc="6E321350">
      <w:start w:val="1"/>
      <w:numFmt w:val="bullet"/>
      <w:lvlText w:val=""/>
      <w:lvlJc w:val="left"/>
      <w:pPr>
        <w:ind w:left="4320" w:hanging="360"/>
      </w:pPr>
      <w:rPr>
        <w:rFonts w:ascii="Wingdings" w:hAnsi="Wingdings" w:hint="default"/>
      </w:rPr>
    </w:lvl>
    <w:lvl w:ilvl="6" w:tplc="3CC00932">
      <w:start w:val="1"/>
      <w:numFmt w:val="bullet"/>
      <w:lvlText w:val=""/>
      <w:lvlJc w:val="left"/>
      <w:pPr>
        <w:ind w:left="5040" w:hanging="360"/>
      </w:pPr>
      <w:rPr>
        <w:rFonts w:ascii="Symbol" w:hAnsi="Symbol" w:hint="default"/>
      </w:rPr>
    </w:lvl>
    <w:lvl w:ilvl="7" w:tplc="226E55DC">
      <w:start w:val="1"/>
      <w:numFmt w:val="bullet"/>
      <w:lvlText w:val="o"/>
      <w:lvlJc w:val="left"/>
      <w:pPr>
        <w:ind w:left="5760" w:hanging="360"/>
      </w:pPr>
      <w:rPr>
        <w:rFonts w:ascii="Courier New" w:hAnsi="Courier New" w:hint="default"/>
      </w:rPr>
    </w:lvl>
    <w:lvl w:ilvl="8" w:tplc="4D0AE5A8">
      <w:start w:val="1"/>
      <w:numFmt w:val="bullet"/>
      <w:lvlText w:val=""/>
      <w:lvlJc w:val="left"/>
      <w:pPr>
        <w:ind w:left="6480" w:hanging="360"/>
      </w:pPr>
      <w:rPr>
        <w:rFonts w:ascii="Wingdings" w:hAnsi="Wingdings" w:hint="default"/>
      </w:rPr>
    </w:lvl>
  </w:abstractNum>
  <w:abstractNum w:abstractNumId="13" w15:restartNumberingAfterBreak="0">
    <w:nsid w:val="46740A66"/>
    <w:multiLevelType w:val="hybridMultilevel"/>
    <w:tmpl w:val="9EB87D7C"/>
    <w:lvl w:ilvl="0" w:tplc="736A06A2">
      <w:start w:val="1"/>
      <w:numFmt w:val="bullet"/>
      <w:lvlText w:val=""/>
      <w:lvlJc w:val="left"/>
      <w:pPr>
        <w:ind w:left="720" w:hanging="360"/>
      </w:pPr>
      <w:rPr>
        <w:rFonts w:ascii="Symbol" w:hAnsi="Symbol" w:hint="default"/>
      </w:rPr>
    </w:lvl>
    <w:lvl w:ilvl="1" w:tplc="F7A86DF8">
      <w:start w:val="1"/>
      <w:numFmt w:val="bullet"/>
      <w:lvlText w:val="o"/>
      <w:lvlJc w:val="left"/>
      <w:pPr>
        <w:ind w:left="1440" w:hanging="360"/>
      </w:pPr>
      <w:rPr>
        <w:rFonts w:ascii="Courier New" w:hAnsi="Courier New" w:hint="default"/>
      </w:rPr>
    </w:lvl>
    <w:lvl w:ilvl="2" w:tplc="4F1A20F2">
      <w:start w:val="1"/>
      <w:numFmt w:val="bullet"/>
      <w:lvlText w:val=""/>
      <w:lvlJc w:val="left"/>
      <w:pPr>
        <w:ind w:left="2160" w:hanging="360"/>
      </w:pPr>
      <w:rPr>
        <w:rFonts w:ascii="Wingdings" w:hAnsi="Wingdings" w:hint="default"/>
      </w:rPr>
    </w:lvl>
    <w:lvl w:ilvl="3" w:tplc="2A7E7078">
      <w:start w:val="1"/>
      <w:numFmt w:val="bullet"/>
      <w:lvlText w:val=""/>
      <w:lvlJc w:val="left"/>
      <w:pPr>
        <w:ind w:left="2880" w:hanging="360"/>
      </w:pPr>
      <w:rPr>
        <w:rFonts w:ascii="Symbol" w:hAnsi="Symbol" w:hint="default"/>
      </w:rPr>
    </w:lvl>
    <w:lvl w:ilvl="4" w:tplc="4016FE62">
      <w:start w:val="1"/>
      <w:numFmt w:val="bullet"/>
      <w:lvlText w:val="o"/>
      <w:lvlJc w:val="left"/>
      <w:pPr>
        <w:ind w:left="3600" w:hanging="360"/>
      </w:pPr>
      <w:rPr>
        <w:rFonts w:ascii="Courier New" w:hAnsi="Courier New" w:hint="default"/>
      </w:rPr>
    </w:lvl>
    <w:lvl w:ilvl="5" w:tplc="B456FC8E">
      <w:start w:val="1"/>
      <w:numFmt w:val="bullet"/>
      <w:lvlText w:val=""/>
      <w:lvlJc w:val="left"/>
      <w:pPr>
        <w:ind w:left="4320" w:hanging="360"/>
      </w:pPr>
      <w:rPr>
        <w:rFonts w:ascii="Wingdings" w:hAnsi="Wingdings" w:hint="default"/>
      </w:rPr>
    </w:lvl>
    <w:lvl w:ilvl="6" w:tplc="8214AAA6">
      <w:start w:val="1"/>
      <w:numFmt w:val="bullet"/>
      <w:lvlText w:val=""/>
      <w:lvlJc w:val="left"/>
      <w:pPr>
        <w:ind w:left="5040" w:hanging="360"/>
      </w:pPr>
      <w:rPr>
        <w:rFonts w:ascii="Symbol" w:hAnsi="Symbol" w:hint="default"/>
      </w:rPr>
    </w:lvl>
    <w:lvl w:ilvl="7" w:tplc="5092783E">
      <w:start w:val="1"/>
      <w:numFmt w:val="bullet"/>
      <w:lvlText w:val="o"/>
      <w:lvlJc w:val="left"/>
      <w:pPr>
        <w:ind w:left="5760" w:hanging="360"/>
      </w:pPr>
      <w:rPr>
        <w:rFonts w:ascii="Courier New" w:hAnsi="Courier New" w:hint="default"/>
      </w:rPr>
    </w:lvl>
    <w:lvl w:ilvl="8" w:tplc="5C1650E4">
      <w:start w:val="1"/>
      <w:numFmt w:val="bullet"/>
      <w:lvlText w:val=""/>
      <w:lvlJc w:val="left"/>
      <w:pPr>
        <w:ind w:left="6480" w:hanging="360"/>
      </w:pPr>
      <w:rPr>
        <w:rFonts w:ascii="Wingdings" w:hAnsi="Wingdings" w:hint="default"/>
      </w:rPr>
    </w:lvl>
  </w:abstractNum>
  <w:abstractNum w:abstractNumId="14" w15:restartNumberingAfterBreak="0">
    <w:nsid w:val="46BCD68A"/>
    <w:multiLevelType w:val="hybridMultilevel"/>
    <w:tmpl w:val="AD3C5096"/>
    <w:lvl w:ilvl="0" w:tplc="E4A88F98">
      <w:start w:val="1"/>
      <w:numFmt w:val="bullet"/>
      <w:lvlText w:val="·"/>
      <w:lvlJc w:val="left"/>
      <w:pPr>
        <w:ind w:left="720" w:hanging="360"/>
      </w:pPr>
      <w:rPr>
        <w:rFonts w:ascii="Symbol" w:hAnsi="Symbol" w:hint="default"/>
      </w:rPr>
    </w:lvl>
    <w:lvl w:ilvl="1" w:tplc="378C60FC">
      <w:start w:val="1"/>
      <w:numFmt w:val="bullet"/>
      <w:lvlText w:val="o"/>
      <w:lvlJc w:val="left"/>
      <w:pPr>
        <w:ind w:left="1440" w:hanging="360"/>
      </w:pPr>
      <w:rPr>
        <w:rFonts w:ascii="Courier New" w:hAnsi="Courier New" w:hint="default"/>
      </w:rPr>
    </w:lvl>
    <w:lvl w:ilvl="2" w:tplc="019AA7B8">
      <w:start w:val="1"/>
      <w:numFmt w:val="bullet"/>
      <w:lvlText w:val=""/>
      <w:lvlJc w:val="left"/>
      <w:pPr>
        <w:ind w:left="2160" w:hanging="360"/>
      </w:pPr>
      <w:rPr>
        <w:rFonts w:ascii="Wingdings" w:hAnsi="Wingdings" w:hint="default"/>
      </w:rPr>
    </w:lvl>
    <w:lvl w:ilvl="3" w:tplc="EF44C234">
      <w:start w:val="1"/>
      <w:numFmt w:val="bullet"/>
      <w:lvlText w:val=""/>
      <w:lvlJc w:val="left"/>
      <w:pPr>
        <w:ind w:left="2880" w:hanging="360"/>
      </w:pPr>
      <w:rPr>
        <w:rFonts w:ascii="Symbol" w:hAnsi="Symbol" w:hint="default"/>
      </w:rPr>
    </w:lvl>
    <w:lvl w:ilvl="4" w:tplc="DB20F452">
      <w:start w:val="1"/>
      <w:numFmt w:val="bullet"/>
      <w:lvlText w:val="o"/>
      <w:lvlJc w:val="left"/>
      <w:pPr>
        <w:ind w:left="3600" w:hanging="360"/>
      </w:pPr>
      <w:rPr>
        <w:rFonts w:ascii="Courier New" w:hAnsi="Courier New" w:hint="default"/>
      </w:rPr>
    </w:lvl>
    <w:lvl w:ilvl="5" w:tplc="96F6EA92">
      <w:start w:val="1"/>
      <w:numFmt w:val="bullet"/>
      <w:lvlText w:val=""/>
      <w:lvlJc w:val="left"/>
      <w:pPr>
        <w:ind w:left="4320" w:hanging="360"/>
      </w:pPr>
      <w:rPr>
        <w:rFonts w:ascii="Wingdings" w:hAnsi="Wingdings" w:hint="default"/>
      </w:rPr>
    </w:lvl>
    <w:lvl w:ilvl="6" w:tplc="865CE1A2">
      <w:start w:val="1"/>
      <w:numFmt w:val="bullet"/>
      <w:lvlText w:val=""/>
      <w:lvlJc w:val="left"/>
      <w:pPr>
        <w:ind w:left="5040" w:hanging="360"/>
      </w:pPr>
      <w:rPr>
        <w:rFonts w:ascii="Symbol" w:hAnsi="Symbol" w:hint="default"/>
      </w:rPr>
    </w:lvl>
    <w:lvl w:ilvl="7" w:tplc="924C0296">
      <w:start w:val="1"/>
      <w:numFmt w:val="bullet"/>
      <w:lvlText w:val="o"/>
      <w:lvlJc w:val="left"/>
      <w:pPr>
        <w:ind w:left="5760" w:hanging="360"/>
      </w:pPr>
      <w:rPr>
        <w:rFonts w:ascii="Courier New" w:hAnsi="Courier New" w:hint="default"/>
      </w:rPr>
    </w:lvl>
    <w:lvl w:ilvl="8" w:tplc="94B8C0F6">
      <w:start w:val="1"/>
      <w:numFmt w:val="bullet"/>
      <w:lvlText w:val=""/>
      <w:lvlJc w:val="left"/>
      <w:pPr>
        <w:ind w:left="6480" w:hanging="360"/>
      </w:pPr>
      <w:rPr>
        <w:rFonts w:ascii="Wingdings" w:hAnsi="Wingdings" w:hint="default"/>
      </w:rPr>
    </w:lvl>
  </w:abstractNum>
  <w:abstractNum w:abstractNumId="15" w15:restartNumberingAfterBreak="0">
    <w:nsid w:val="4DE17B1B"/>
    <w:multiLevelType w:val="hybridMultilevel"/>
    <w:tmpl w:val="4DE60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801585"/>
    <w:multiLevelType w:val="multilevel"/>
    <w:tmpl w:val="6D84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9120D"/>
    <w:multiLevelType w:val="multilevel"/>
    <w:tmpl w:val="85E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09AFF"/>
    <w:multiLevelType w:val="hybridMultilevel"/>
    <w:tmpl w:val="51C2ECB2"/>
    <w:lvl w:ilvl="0" w:tplc="31B41BFA">
      <w:start w:val="1"/>
      <w:numFmt w:val="bullet"/>
      <w:lvlText w:val="·"/>
      <w:lvlJc w:val="left"/>
      <w:pPr>
        <w:ind w:left="720" w:hanging="360"/>
      </w:pPr>
      <w:rPr>
        <w:rFonts w:ascii="Symbol" w:hAnsi="Symbol" w:hint="default"/>
      </w:rPr>
    </w:lvl>
    <w:lvl w:ilvl="1" w:tplc="C96A9900">
      <w:start w:val="1"/>
      <w:numFmt w:val="bullet"/>
      <w:lvlText w:val="o"/>
      <w:lvlJc w:val="left"/>
      <w:pPr>
        <w:ind w:left="1440" w:hanging="360"/>
      </w:pPr>
      <w:rPr>
        <w:rFonts w:ascii="Courier New" w:hAnsi="Courier New" w:hint="default"/>
      </w:rPr>
    </w:lvl>
    <w:lvl w:ilvl="2" w:tplc="099848FE">
      <w:start w:val="1"/>
      <w:numFmt w:val="bullet"/>
      <w:lvlText w:val=""/>
      <w:lvlJc w:val="left"/>
      <w:pPr>
        <w:ind w:left="2160" w:hanging="360"/>
      </w:pPr>
      <w:rPr>
        <w:rFonts w:ascii="Wingdings" w:hAnsi="Wingdings" w:hint="default"/>
      </w:rPr>
    </w:lvl>
    <w:lvl w:ilvl="3" w:tplc="C2D891F4">
      <w:start w:val="1"/>
      <w:numFmt w:val="bullet"/>
      <w:lvlText w:val=""/>
      <w:lvlJc w:val="left"/>
      <w:pPr>
        <w:ind w:left="2880" w:hanging="360"/>
      </w:pPr>
      <w:rPr>
        <w:rFonts w:ascii="Symbol" w:hAnsi="Symbol" w:hint="default"/>
      </w:rPr>
    </w:lvl>
    <w:lvl w:ilvl="4" w:tplc="B2B8B6AC">
      <w:start w:val="1"/>
      <w:numFmt w:val="bullet"/>
      <w:lvlText w:val="o"/>
      <w:lvlJc w:val="left"/>
      <w:pPr>
        <w:ind w:left="3600" w:hanging="360"/>
      </w:pPr>
      <w:rPr>
        <w:rFonts w:ascii="Courier New" w:hAnsi="Courier New" w:hint="default"/>
      </w:rPr>
    </w:lvl>
    <w:lvl w:ilvl="5" w:tplc="77DE1E28">
      <w:start w:val="1"/>
      <w:numFmt w:val="bullet"/>
      <w:lvlText w:val=""/>
      <w:lvlJc w:val="left"/>
      <w:pPr>
        <w:ind w:left="4320" w:hanging="360"/>
      </w:pPr>
      <w:rPr>
        <w:rFonts w:ascii="Wingdings" w:hAnsi="Wingdings" w:hint="default"/>
      </w:rPr>
    </w:lvl>
    <w:lvl w:ilvl="6" w:tplc="67BC1482">
      <w:start w:val="1"/>
      <w:numFmt w:val="bullet"/>
      <w:lvlText w:val=""/>
      <w:lvlJc w:val="left"/>
      <w:pPr>
        <w:ind w:left="5040" w:hanging="360"/>
      </w:pPr>
      <w:rPr>
        <w:rFonts w:ascii="Symbol" w:hAnsi="Symbol" w:hint="default"/>
      </w:rPr>
    </w:lvl>
    <w:lvl w:ilvl="7" w:tplc="4524EA2A">
      <w:start w:val="1"/>
      <w:numFmt w:val="bullet"/>
      <w:lvlText w:val="o"/>
      <w:lvlJc w:val="left"/>
      <w:pPr>
        <w:ind w:left="5760" w:hanging="360"/>
      </w:pPr>
      <w:rPr>
        <w:rFonts w:ascii="Courier New" w:hAnsi="Courier New" w:hint="default"/>
      </w:rPr>
    </w:lvl>
    <w:lvl w:ilvl="8" w:tplc="D5D8659C">
      <w:start w:val="1"/>
      <w:numFmt w:val="bullet"/>
      <w:lvlText w:val=""/>
      <w:lvlJc w:val="left"/>
      <w:pPr>
        <w:ind w:left="6480" w:hanging="360"/>
      </w:pPr>
      <w:rPr>
        <w:rFonts w:ascii="Wingdings" w:hAnsi="Wingdings" w:hint="default"/>
      </w:rPr>
    </w:lvl>
  </w:abstractNum>
  <w:abstractNum w:abstractNumId="19" w15:restartNumberingAfterBreak="0">
    <w:nsid w:val="5F1F6FDD"/>
    <w:multiLevelType w:val="hybridMultilevel"/>
    <w:tmpl w:val="8B441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174E1"/>
    <w:multiLevelType w:val="multilevel"/>
    <w:tmpl w:val="72F0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ADBF8"/>
    <w:multiLevelType w:val="hybridMultilevel"/>
    <w:tmpl w:val="8BD6FD4A"/>
    <w:lvl w:ilvl="0" w:tplc="A75CEBCE">
      <w:start w:val="1"/>
      <w:numFmt w:val="bullet"/>
      <w:lvlText w:val=""/>
      <w:lvlJc w:val="left"/>
      <w:pPr>
        <w:ind w:left="720" w:hanging="360"/>
      </w:pPr>
      <w:rPr>
        <w:rFonts w:ascii="Symbol" w:hAnsi="Symbol" w:hint="default"/>
      </w:rPr>
    </w:lvl>
    <w:lvl w:ilvl="1" w:tplc="DD6E86E6">
      <w:start w:val="1"/>
      <w:numFmt w:val="bullet"/>
      <w:lvlText w:val="o"/>
      <w:lvlJc w:val="left"/>
      <w:pPr>
        <w:ind w:left="1440" w:hanging="360"/>
      </w:pPr>
      <w:rPr>
        <w:rFonts w:ascii="Courier New" w:hAnsi="Courier New" w:hint="default"/>
      </w:rPr>
    </w:lvl>
    <w:lvl w:ilvl="2" w:tplc="A6AED762">
      <w:start w:val="1"/>
      <w:numFmt w:val="bullet"/>
      <w:lvlText w:val=""/>
      <w:lvlJc w:val="left"/>
      <w:pPr>
        <w:ind w:left="2160" w:hanging="360"/>
      </w:pPr>
      <w:rPr>
        <w:rFonts w:ascii="Wingdings" w:hAnsi="Wingdings" w:hint="default"/>
      </w:rPr>
    </w:lvl>
    <w:lvl w:ilvl="3" w:tplc="6F0EE4C2">
      <w:start w:val="1"/>
      <w:numFmt w:val="bullet"/>
      <w:lvlText w:val=""/>
      <w:lvlJc w:val="left"/>
      <w:pPr>
        <w:ind w:left="2880" w:hanging="360"/>
      </w:pPr>
      <w:rPr>
        <w:rFonts w:ascii="Symbol" w:hAnsi="Symbol" w:hint="default"/>
      </w:rPr>
    </w:lvl>
    <w:lvl w:ilvl="4" w:tplc="773C9E42">
      <w:start w:val="1"/>
      <w:numFmt w:val="bullet"/>
      <w:lvlText w:val="o"/>
      <w:lvlJc w:val="left"/>
      <w:pPr>
        <w:ind w:left="3600" w:hanging="360"/>
      </w:pPr>
      <w:rPr>
        <w:rFonts w:ascii="Courier New" w:hAnsi="Courier New" w:hint="default"/>
      </w:rPr>
    </w:lvl>
    <w:lvl w:ilvl="5" w:tplc="CAB4DA68">
      <w:start w:val="1"/>
      <w:numFmt w:val="bullet"/>
      <w:lvlText w:val=""/>
      <w:lvlJc w:val="left"/>
      <w:pPr>
        <w:ind w:left="4320" w:hanging="360"/>
      </w:pPr>
      <w:rPr>
        <w:rFonts w:ascii="Wingdings" w:hAnsi="Wingdings" w:hint="default"/>
      </w:rPr>
    </w:lvl>
    <w:lvl w:ilvl="6" w:tplc="422E6A22">
      <w:start w:val="1"/>
      <w:numFmt w:val="bullet"/>
      <w:lvlText w:val=""/>
      <w:lvlJc w:val="left"/>
      <w:pPr>
        <w:ind w:left="5040" w:hanging="360"/>
      </w:pPr>
      <w:rPr>
        <w:rFonts w:ascii="Symbol" w:hAnsi="Symbol" w:hint="default"/>
      </w:rPr>
    </w:lvl>
    <w:lvl w:ilvl="7" w:tplc="F078EB9A">
      <w:start w:val="1"/>
      <w:numFmt w:val="bullet"/>
      <w:lvlText w:val="o"/>
      <w:lvlJc w:val="left"/>
      <w:pPr>
        <w:ind w:left="5760" w:hanging="360"/>
      </w:pPr>
      <w:rPr>
        <w:rFonts w:ascii="Courier New" w:hAnsi="Courier New" w:hint="default"/>
      </w:rPr>
    </w:lvl>
    <w:lvl w:ilvl="8" w:tplc="1CA2F52C">
      <w:start w:val="1"/>
      <w:numFmt w:val="bullet"/>
      <w:lvlText w:val=""/>
      <w:lvlJc w:val="left"/>
      <w:pPr>
        <w:ind w:left="6480" w:hanging="360"/>
      </w:pPr>
      <w:rPr>
        <w:rFonts w:ascii="Wingdings" w:hAnsi="Wingdings" w:hint="default"/>
      </w:rPr>
    </w:lvl>
  </w:abstractNum>
  <w:abstractNum w:abstractNumId="22" w15:restartNumberingAfterBreak="0">
    <w:nsid w:val="711F7A54"/>
    <w:multiLevelType w:val="hybridMultilevel"/>
    <w:tmpl w:val="72D6F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97B268"/>
    <w:multiLevelType w:val="hybridMultilevel"/>
    <w:tmpl w:val="A8EE3D96"/>
    <w:lvl w:ilvl="0" w:tplc="260E6124">
      <w:start w:val="1"/>
      <w:numFmt w:val="bullet"/>
      <w:lvlText w:val=""/>
      <w:lvlJc w:val="left"/>
      <w:pPr>
        <w:ind w:left="720" w:hanging="360"/>
      </w:pPr>
      <w:rPr>
        <w:rFonts w:ascii="Symbol" w:hAnsi="Symbol" w:hint="default"/>
      </w:rPr>
    </w:lvl>
    <w:lvl w:ilvl="1" w:tplc="F6547598">
      <w:start w:val="1"/>
      <w:numFmt w:val="bullet"/>
      <w:lvlText w:val="o"/>
      <w:lvlJc w:val="left"/>
      <w:pPr>
        <w:ind w:left="1440" w:hanging="360"/>
      </w:pPr>
      <w:rPr>
        <w:rFonts w:ascii="Courier New" w:hAnsi="Courier New" w:hint="default"/>
      </w:rPr>
    </w:lvl>
    <w:lvl w:ilvl="2" w:tplc="B2E23564">
      <w:start w:val="1"/>
      <w:numFmt w:val="bullet"/>
      <w:lvlText w:val=""/>
      <w:lvlJc w:val="left"/>
      <w:pPr>
        <w:ind w:left="2160" w:hanging="360"/>
      </w:pPr>
      <w:rPr>
        <w:rFonts w:ascii="Wingdings" w:hAnsi="Wingdings" w:hint="default"/>
      </w:rPr>
    </w:lvl>
    <w:lvl w:ilvl="3" w:tplc="94D05B8A">
      <w:start w:val="1"/>
      <w:numFmt w:val="bullet"/>
      <w:lvlText w:val=""/>
      <w:lvlJc w:val="left"/>
      <w:pPr>
        <w:ind w:left="2880" w:hanging="360"/>
      </w:pPr>
      <w:rPr>
        <w:rFonts w:ascii="Symbol" w:hAnsi="Symbol" w:hint="default"/>
      </w:rPr>
    </w:lvl>
    <w:lvl w:ilvl="4" w:tplc="3DDEE496">
      <w:start w:val="1"/>
      <w:numFmt w:val="bullet"/>
      <w:lvlText w:val="o"/>
      <w:lvlJc w:val="left"/>
      <w:pPr>
        <w:ind w:left="3600" w:hanging="360"/>
      </w:pPr>
      <w:rPr>
        <w:rFonts w:ascii="Courier New" w:hAnsi="Courier New" w:hint="default"/>
      </w:rPr>
    </w:lvl>
    <w:lvl w:ilvl="5" w:tplc="E242AE7C">
      <w:start w:val="1"/>
      <w:numFmt w:val="bullet"/>
      <w:lvlText w:val=""/>
      <w:lvlJc w:val="left"/>
      <w:pPr>
        <w:ind w:left="4320" w:hanging="360"/>
      </w:pPr>
      <w:rPr>
        <w:rFonts w:ascii="Wingdings" w:hAnsi="Wingdings" w:hint="default"/>
      </w:rPr>
    </w:lvl>
    <w:lvl w:ilvl="6" w:tplc="5980DE7E">
      <w:start w:val="1"/>
      <w:numFmt w:val="bullet"/>
      <w:lvlText w:val=""/>
      <w:lvlJc w:val="left"/>
      <w:pPr>
        <w:ind w:left="5040" w:hanging="360"/>
      </w:pPr>
      <w:rPr>
        <w:rFonts w:ascii="Symbol" w:hAnsi="Symbol" w:hint="default"/>
      </w:rPr>
    </w:lvl>
    <w:lvl w:ilvl="7" w:tplc="44467FAA">
      <w:start w:val="1"/>
      <w:numFmt w:val="bullet"/>
      <w:lvlText w:val="o"/>
      <w:lvlJc w:val="left"/>
      <w:pPr>
        <w:ind w:left="5760" w:hanging="360"/>
      </w:pPr>
      <w:rPr>
        <w:rFonts w:ascii="Courier New" w:hAnsi="Courier New" w:hint="default"/>
      </w:rPr>
    </w:lvl>
    <w:lvl w:ilvl="8" w:tplc="0E260BAE">
      <w:start w:val="1"/>
      <w:numFmt w:val="bullet"/>
      <w:lvlText w:val=""/>
      <w:lvlJc w:val="left"/>
      <w:pPr>
        <w:ind w:left="6480" w:hanging="360"/>
      </w:pPr>
      <w:rPr>
        <w:rFonts w:ascii="Wingdings" w:hAnsi="Wingdings" w:hint="default"/>
      </w:rPr>
    </w:lvl>
  </w:abstractNum>
  <w:abstractNum w:abstractNumId="24"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1920A9"/>
    <w:multiLevelType w:val="hybridMultilevel"/>
    <w:tmpl w:val="1362F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7C6CFC"/>
    <w:multiLevelType w:val="multilevel"/>
    <w:tmpl w:val="B87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36989"/>
    <w:multiLevelType w:val="hybridMultilevel"/>
    <w:tmpl w:val="D50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2C1D69"/>
    <w:multiLevelType w:val="hybridMultilevel"/>
    <w:tmpl w:val="1FEC0304"/>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1"/>
  </w:num>
  <w:num w:numId="2" w16cid:durableId="204488658">
    <w:abstractNumId w:val="6"/>
  </w:num>
  <w:num w:numId="3" w16cid:durableId="203442120">
    <w:abstractNumId w:val="28"/>
  </w:num>
  <w:num w:numId="4" w16cid:durableId="1307200252">
    <w:abstractNumId w:val="24"/>
  </w:num>
  <w:num w:numId="5" w16cid:durableId="1374310790">
    <w:abstractNumId w:val="29"/>
  </w:num>
  <w:num w:numId="6" w16cid:durableId="551578667">
    <w:abstractNumId w:val="2"/>
  </w:num>
  <w:num w:numId="7" w16cid:durableId="24672721">
    <w:abstractNumId w:val="7"/>
  </w:num>
  <w:num w:numId="8" w16cid:durableId="1034889310">
    <w:abstractNumId w:val="17"/>
  </w:num>
  <w:num w:numId="9" w16cid:durableId="1780295831">
    <w:abstractNumId w:val="16"/>
  </w:num>
  <w:num w:numId="10" w16cid:durableId="1168401750">
    <w:abstractNumId w:val="26"/>
  </w:num>
  <w:num w:numId="11" w16cid:durableId="1565527207">
    <w:abstractNumId w:val="20"/>
  </w:num>
  <w:num w:numId="12" w16cid:durableId="299845865">
    <w:abstractNumId w:val="8"/>
  </w:num>
  <w:num w:numId="13" w16cid:durableId="1113017657">
    <w:abstractNumId w:val="21"/>
  </w:num>
  <w:num w:numId="14" w16cid:durableId="1774397951">
    <w:abstractNumId w:val="13"/>
  </w:num>
  <w:num w:numId="15" w16cid:durableId="623073485">
    <w:abstractNumId w:val="23"/>
  </w:num>
  <w:num w:numId="16" w16cid:durableId="1391919852">
    <w:abstractNumId w:val="4"/>
  </w:num>
  <w:num w:numId="17" w16cid:durableId="1047100098">
    <w:abstractNumId w:val="18"/>
  </w:num>
  <w:num w:numId="18" w16cid:durableId="1618027135">
    <w:abstractNumId w:val="14"/>
  </w:num>
  <w:num w:numId="19" w16cid:durableId="625505344">
    <w:abstractNumId w:val="5"/>
  </w:num>
  <w:num w:numId="20" w16cid:durableId="477110375">
    <w:abstractNumId w:val="12"/>
  </w:num>
  <w:num w:numId="21" w16cid:durableId="1344438113">
    <w:abstractNumId w:val="22"/>
  </w:num>
  <w:num w:numId="22" w16cid:durableId="1323892827">
    <w:abstractNumId w:val="19"/>
  </w:num>
  <w:num w:numId="23" w16cid:durableId="1303805178">
    <w:abstractNumId w:val="15"/>
  </w:num>
  <w:num w:numId="24" w16cid:durableId="690423078">
    <w:abstractNumId w:val="10"/>
  </w:num>
  <w:num w:numId="25" w16cid:durableId="1674919140">
    <w:abstractNumId w:val="9"/>
  </w:num>
  <w:num w:numId="26" w16cid:durableId="1631857586">
    <w:abstractNumId w:val="25"/>
  </w:num>
  <w:num w:numId="27" w16cid:durableId="453790350">
    <w:abstractNumId w:val="3"/>
  </w:num>
  <w:num w:numId="28" w16cid:durableId="701445676">
    <w:abstractNumId w:val="0"/>
  </w:num>
  <w:num w:numId="29" w16cid:durableId="1666006386">
    <w:abstractNumId w:val="27"/>
  </w:num>
  <w:num w:numId="30" w16cid:durableId="1125122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36EB"/>
    <w:rsid w:val="000056F8"/>
    <w:rsid w:val="000068DB"/>
    <w:rsid w:val="00006B98"/>
    <w:rsid w:val="00011F9A"/>
    <w:rsid w:val="00013089"/>
    <w:rsid w:val="00020CD7"/>
    <w:rsid w:val="0002157D"/>
    <w:rsid w:val="00021B18"/>
    <w:rsid w:val="0002389D"/>
    <w:rsid w:val="000321A1"/>
    <w:rsid w:val="00035321"/>
    <w:rsid w:val="0004202D"/>
    <w:rsid w:val="000462D8"/>
    <w:rsid w:val="00050464"/>
    <w:rsid w:val="00051E06"/>
    <w:rsid w:val="000542E2"/>
    <w:rsid w:val="0006339B"/>
    <w:rsid w:val="00064195"/>
    <w:rsid w:val="0006525D"/>
    <w:rsid w:val="00072478"/>
    <w:rsid w:val="000726C7"/>
    <w:rsid w:val="00075F29"/>
    <w:rsid w:val="00077543"/>
    <w:rsid w:val="00077C37"/>
    <w:rsid w:val="00082675"/>
    <w:rsid w:val="000849B7"/>
    <w:rsid w:val="000857F3"/>
    <w:rsid w:val="00090919"/>
    <w:rsid w:val="00090B35"/>
    <w:rsid w:val="00091D8F"/>
    <w:rsid w:val="0009250D"/>
    <w:rsid w:val="000939C0"/>
    <w:rsid w:val="000979A1"/>
    <w:rsid w:val="000A0ACC"/>
    <w:rsid w:val="000A2FAD"/>
    <w:rsid w:val="000A4A17"/>
    <w:rsid w:val="000A4AB6"/>
    <w:rsid w:val="000A585C"/>
    <w:rsid w:val="000B0B5C"/>
    <w:rsid w:val="000B3068"/>
    <w:rsid w:val="000B5011"/>
    <w:rsid w:val="000C782F"/>
    <w:rsid w:val="000D4614"/>
    <w:rsid w:val="000E251A"/>
    <w:rsid w:val="000E62E1"/>
    <w:rsid w:val="000F1296"/>
    <w:rsid w:val="000F39B0"/>
    <w:rsid w:val="000F4331"/>
    <w:rsid w:val="00102FAE"/>
    <w:rsid w:val="00103AD4"/>
    <w:rsid w:val="001049F2"/>
    <w:rsid w:val="0011487F"/>
    <w:rsid w:val="0012522E"/>
    <w:rsid w:val="001277B2"/>
    <w:rsid w:val="00132430"/>
    <w:rsid w:val="00133CF9"/>
    <w:rsid w:val="00134E94"/>
    <w:rsid w:val="001475A2"/>
    <w:rsid w:val="0015251E"/>
    <w:rsid w:val="00153F2F"/>
    <w:rsid w:val="00155344"/>
    <w:rsid w:val="00155D40"/>
    <w:rsid w:val="00157CDC"/>
    <w:rsid w:val="00173568"/>
    <w:rsid w:val="0017430D"/>
    <w:rsid w:val="001751E5"/>
    <w:rsid w:val="0017756D"/>
    <w:rsid w:val="00177911"/>
    <w:rsid w:val="001779FE"/>
    <w:rsid w:val="00180A66"/>
    <w:rsid w:val="00181651"/>
    <w:rsid w:val="00195EE7"/>
    <w:rsid w:val="001A02F9"/>
    <w:rsid w:val="001A0858"/>
    <w:rsid w:val="001A1F2B"/>
    <w:rsid w:val="001B15A1"/>
    <w:rsid w:val="001B1DA8"/>
    <w:rsid w:val="001B2896"/>
    <w:rsid w:val="001B543E"/>
    <w:rsid w:val="001C0BDD"/>
    <w:rsid w:val="001C58B5"/>
    <w:rsid w:val="001D5E70"/>
    <w:rsid w:val="001E1D71"/>
    <w:rsid w:val="001E4489"/>
    <w:rsid w:val="001E4E04"/>
    <w:rsid w:val="001E55EE"/>
    <w:rsid w:val="001F0B25"/>
    <w:rsid w:val="001F0F05"/>
    <w:rsid w:val="001F24D8"/>
    <w:rsid w:val="001F2EEF"/>
    <w:rsid w:val="001F373E"/>
    <w:rsid w:val="001F6C79"/>
    <w:rsid w:val="0020030E"/>
    <w:rsid w:val="0020224D"/>
    <w:rsid w:val="00203304"/>
    <w:rsid w:val="00205965"/>
    <w:rsid w:val="00213E06"/>
    <w:rsid w:val="0021759A"/>
    <w:rsid w:val="00217872"/>
    <w:rsid w:val="00220ED7"/>
    <w:rsid w:val="00220F62"/>
    <w:rsid w:val="002263B1"/>
    <w:rsid w:val="00232A42"/>
    <w:rsid w:val="002337F7"/>
    <w:rsid w:val="0023421B"/>
    <w:rsid w:val="00234D9B"/>
    <w:rsid w:val="00236F72"/>
    <w:rsid w:val="002414D2"/>
    <w:rsid w:val="0024577A"/>
    <w:rsid w:val="00247AEB"/>
    <w:rsid w:val="002550DB"/>
    <w:rsid w:val="00256E01"/>
    <w:rsid w:val="00270D98"/>
    <w:rsid w:val="0027200A"/>
    <w:rsid w:val="00280A6E"/>
    <w:rsid w:val="00282BDA"/>
    <w:rsid w:val="00295D57"/>
    <w:rsid w:val="002A0A56"/>
    <w:rsid w:val="002A6BD3"/>
    <w:rsid w:val="002A799D"/>
    <w:rsid w:val="002B534C"/>
    <w:rsid w:val="002B5FFF"/>
    <w:rsid w:val="002D1686"/>
    <w:rsid w:val="002D2C92"/>
    <w:rsid w:val="002D3D89"/>
    <w:rsid w:val="002D6073"/>
    <w:rsid w:val="002D608A"/>
    <w:rsid w:val="002E26A6"/>
    <w:rsid w:val="002E3DC0"/>
    <w:rsid w:val="002E450A"/>
    <w:rsid w:val="002E64BC"/>
    <w:rsid w:val="002F2B30"/>
    <w:rsid w:val="002F339A"/>
    <w:rsid w:val="002F67A8"/>
    <w:rsid w:val="00300E1D"/>
    <w:rsid w:val="00307340"/>
    <w:rsid w:val="00321935"/>
    <w:rsid w:val="00322782"/>
    <w:rsid w:val="00335C61"/>
    <w:rsid w:val="0033638D"/>
    <w:rsid w:val="00341352"/>
    <w:rsid w:val="0034520A"/>
    <w:rsid w:val="003502BF"/>
    <w:rsid w:val="00354276"/>
    <w:rsid w:val="00355010"/>
    <w:rsid w:val="003610EF"/>
    <w:rsid w:val="003613FE"/>
    <w:rsid w:val="003675A9"/>
    <w:rsid w:val="00371766"/>
    <w:rsid w:val="00374011"/>
    <w:rsid w:val="003754C6"/>
    <w:rsid w:val="00376E23"/>
    <w:rsid w:val="00383951"/>
    <w:rsid w:val="00385960"/>
    <w:rsid w:val="00386A7E"/>
    <w:rsid w:val="0039161E"/>
    <w:rsid w:val="00391A01"/>
    <w:rsid w:val="003928F8"/>
    <w:rsid w:val="00392AAA"/>
    <w:rsid w:val="00392E33"/>
    <w:rsid w:val="003A74A1"/>
    <w:rsid w:val="003B003A"/>
    <w:rsid w:val="003B28EB"/>
    <w:rsid w:val="003B2CC4"/>
    <w:rsid w:val="003C33BD"/>
    <w:rsid w:val="003C35C4"/>
    <w:rsid w:val="003C59AF"/>
    <w:rsid w:val="003C6AC2"/>
    <w:rsid w:val="003D494D"/>
    <w:rsid w:val="003D52EE"/>
    <w:rsid w:val="003D6C8F"/>
    <w:rsid w:val="003E4BC7"/>
    <w:rsid w:val="003E577E"/>
    <w:rsid w:val="003E772B"/>
    <w:rsid w:val="003F0FDB"/>
    <w:rsid w:val="003F1868"/>
    <w:rsid w:val="003F79A0"/>
    <w:rsid w:val="00411CD0"/>
    <w:rsid w:val="00420B77"/>
    <w:rsid w:val="004245C2"/>
    <w:rsid w:val="0042530A"/>
    <w:rsid w:val="00433E50"/>
    <w:rsid w:val="00444310"/>
    <w:rsid w:val="00446326"/>
    <w:rsid w:val="004504B1"/>
    <w:rsid w:val="0045610A"/>
    <w:rsid w:val="004563C2"/>
    <w:rsid w:val="00461B08"/>
    <w:rsid w:val="00472C55"/>
    <w:rsid w:val="004751AB"/>
    <w:rsid w:val="00481DAE"/>
    <w:rsid w:val="00487CEE"/>
    <w:rsid w:val="0049078B"/>
    <w:rsid w:val="00492D8A"/>
    <w:rsid w:val="00497EA2"/>
    <w:rsid w:val="004A7207"/>
    <w:rsid w:val="004A7A22"/>
    <w:rsid w:val="004B0A7B"/>
    <w:rsid w:val="004B2AB5"/>
    <w:rsid w:val="004B65C2"/>
    <w:rsid w:val="004C1451"/>
    <w:rsid w:val="004C44ED"/>
    <w:rsid w:val="004E0C7E"/>
    <w:rsid w:val="004E3796"/>
    <w:rsid w:val="004E4D0A"/>
    <w:rsid w:val="004E7792"/>
    <w:rsid w:val="004E7DDE"/>
    <w:rsid w:val="004F153A"/>
    <w:rsid w:val="004F1EEE"/>
    <w:rsid w:val="005033AE"/>
    <w:rsid w:val="00503D7A"/>
    <w:rsid w:val="005174C4"/>
    <w:rsid w:val="00524466"/>
    <w:rsid w:val="005309D9"/>
    <w:rsid w:val="0053208E"/>
    <w:rsid w:val="0053449D"/>
    <w:rsid w:val="00534767"/>
    <w:rsid w:val="00542C7D"/>
    <w:rsid w:val="00550B32"/>
    <w:rsid w:val="00552C95"/>
    <w:rsid w:val="00555C5C"/>
    <w:rsid w:val="005617F7"/>
    <w:rsid w:val="00562A71"/>
    <w:rsid w:val="0056445F"/>
    <w:rsid w:val="0056564A"/>
    <w:rsid w:val="00570C1A"/>
    <w:rsid w:val="0057529C"/>
    <w:rsid w:val="00580A3C"/>
    <w:rsid w:val="00582E1B"/>
    <w:rsid w:val="00586881"/>
    <w:rsid w:val="00590BD8"/>
    <w:rsid w:val="00592F24"/>
    <w:rsid w:val="00593555"/>
    <w:rsid w:val="00593D6F"/>
    <w:rsid w:val="0059661B"/>
    <w:rsid w:val="005A2FDF"/>
    <w:rsid w:val="005A389A"/>
    <w:rsid w:val="005A43D8"/>
    <w:rsid w:val="005B1B98"/>
    <w:rsid w:val="005B2492"/>
    <w:rsid w:val="005B459D"/>
    <w:rsid w:val="005C0805"/>
    <w:rsid w:val="005C0B18"/>
    <w:rsid w:val="005C1512"/>
    <w:rsid w:val="005C1962"/>
    <w:rsid w:val="005C2424"/>
    <w:rsid w:val="005C26AB"/>
    <w:rsid w:val="005C4F2B"/>
    <w:rsid w:val="005D633B"/>
    <w:rsid w:val="005E0413"/>
    <w:rsid w:val="005E21DD"/>
    <w:rsid w:val="005E4268"/>
    <w:rsid w:val="005E73A6"/>
    <w:rsid w:val="005F090B"/>
    <w:rsid w:val="005F323B"/>
    <w:rsid w:val="005F33B5"/>
    <w:rsid w:val="005F4510"/>
    <w:rsid w:val="005F78C6"/>
    <w:rsid w:val="005F7F2E"/>
    <w:rsid w:val="00600767"/>
    <w:rsid w:val="0060688B"/>
    <w:rsid w:val="00611B17"/>
    <w:rsid w:val="00613156"/>
    <w:rsid w:val="00620796"/>
    <w:rsid w:val="00625F27"/>
    <w:rsid w:val="00633A47"/>
    <w:rsid w:val="00633D98"/>
    <w:rsid w:val="00636C3A"/>
    <w:rsid w:val="00637955"/>
    <w:rsid w:val="00642489"/>
    <w:rsid w:val="00646E7C"/>
    <w:rsid w:val="006525F8"/>
    <w:rsid w:val="00652FEA"/>
    <w:rsid w:val="0065459C"/>
    <w:rsid w:val="00655DAC"/>
    <w:rsid w:val="00664925"/>
    <w:rsid w:val="00664A13"/>
    <w:rsid w:val="00665321"/>
    <w:rsid w:val="00667E96"/>
    <w:rsid w:val="0067163B"/>
    <w:rsid w:val="006771A5"/>
    <w:rsid w:val="00680C0F"/>
    <w:rsid w:val="006845FB"/>
    <w:rsid w:val="00690CB3"/>
    <w:rsid w:val="0069276C"/>
    <w:rsid w:val="00694E57"/>
    <w:rsid w:val="00697598"/>
    <w:rsid w:val="006A2293"/>
    <w:rsid w:val="006A2895"/>
    <w:rsid w:val="006A44E7"/>
    <w:rsid w:val="006A7CC9"/>
    <w:rsid w:val="006B752F"/>
    <w:rsid w:val="006C313E"/>
    <w:rsid w:val="006C4E1D"/>
    <w:rsid w:val="006C7BC3"/>
    <w:rsid w:val="006D5BB0"/>
    <w:rsid w:val="006E023E"/>
    <w:rsid w:val="006E0F3E"/>
    <w:rsid w:val="006E1519"/>
    <w:rsid w:val="006E5011"/>
    <w:rsid w:val="00700F27"/>
    <w:rsid w:val="00702D35"/>
    <w:rsid w:val="00706887"/>
    <w:rsid w:val="00710B7E"/>
    <w:rsid w:val="00715B4A"/>
    <w:rsid w:val="00717046"/>
    <w:rsid w:val="00721C87"/>
    <w:rsid w:val="0074674A"/>
    <w:rsid w:val="0074729D"/>
    <w:rsid w:val="007474FC"/>
    <w:rsid w:val="007507AD"/>
    <w:rsid w:val="00751CE9"/>
    <w:rsid w:val="0075639D"/>
    <w:rsid w:val="007575F8"/>
    <w:rsid w:val="007646C9"/>
    <w:rsid w:val="007670D7"/>
    <w:rsid w:val="00771642"/>
    <w:rsid w:val="00771C2D"/>
    <w:rsid w:val="00774989"/>
    <w:rsid w:val="00774F63"/>
    <w:rsid w:val="007754B6"/>
    <w:rsid w:val="00781B9C"/>
    <w:rsid w:val="00784371"/>
    <w:rsid w:val="00785C81"/>
    <w:rsid w:val="00786B5D"/>
    <w:rsid w:val="00791529"/>
    <w:rsid w:val="00791BB8"/>
    <w:rsid w:val="00792703"/>
    <w:rsid w:val="00796074"/>
    <w:rsid w:val="007A0A78"/>
    <w:rsid w:val="007B0F6D"/>
    <w:rsid w:val="007C3A04"/>
    <w:rsid w:val="007C7691"/>
    <w:rsid w:val="007D0ABD"/>
    <w:rsid w:val="007D1E73"/>
    <w:rsid w:val="007D3509"/>
    <w:rsid w:val="007F1741"/>
    <w:rsid w:val="007F315C"/>
    <w:rsid w:val="007F6657"/>
    <w:rsid w:val="007F750E"/>
    <w:rsid w:val="00801040"/>
    <w:rsid w:val="008021FF"/>
    <w:rsid w:val="00806578"/>
    <w:rsid w:val="00815F0B"/>
    <w:rsid w:val="00817B5E"/>
    <w:rsid w:val="00822412"/>
    <w:rsid w:val="00825709"/>
    <w:rsid w:val="00830DB1"/>
    <w:rsid w:val="00831615"/>
    <w:rsid w:val="008350A2"/>
    <w:rsid w:val="00835B79"/>
    <w:rsid w:val="00837CBB"/>
    <w:rsid w:val="008401AF"/>
    <w:rsid w:val="00840A86"/>
    <w:rsid w:val="008459F4"/>
    <w:rsid w:val="00846CC2"/>
    <w:rsid w:val="008507B8"/>
    <w:rsid w:val="00852C18"/>
    <w:rsid w:val="00854404"/>
    <w:rsid w:val="0085501C"/>
    <w:rsid w:val="008602A4"/>
    <w:rsid w:val="0086170D"/>
    <w:rsid w:val="00866D34"/>
    <w:rsid w:val="00872998"/>
    <w:rsid w:val="00881523"/>
    <w:rsid w:val="00882CF4"/>
    <w:rsid w:val="00883580"/>
    <w:rsid w:val="00884FA4"/>
    <w:rsid w:val="0089313C"/>
    <w:rsid w:val="00893C6A"/>
    <w:rsid w:val="008A1E6A"/>
    <w:rsid w:val="008A31AF"/>
    <w:rsid w:val="008A35E5"/>
    <w:rsid w:val="008A4A4C"/>
    <w:rsid w:val="008A4D1C"/>
    <w:rsid w:val="008A4E13"/>
    <w:rsid w:val="008A5009"/>
    <w:rsid w:val="008A5E45"/>
    <w:rsid w:val="008B2F13"/>
    <w:rsid w:val="008B4967"/>
    <w:rsid w:val="008C256E"/>
    <w:rsid w:val="008C4DF5"/>
    <w:rsid w:val="008C697F"/>
    <w:rsid w:val="008D3637"/>
    <w:rsid w:val="008D37B6"/>
    <w:rsid w:val="008D7E60"/>
    <w:rsid w:val="008E0E17"/>
    <w:rsid w:val="008E54F5"/>
    <w:rsid w:val="008F0795"/>
    <w:rsid w:val="008F21A5"/>
    <w:rsid w:val="008F6BA2"/>
    <w:rsid w:val="008F6D66"/>
    <w:rsid w:val="008F7931"/>
    <w:rsid w:val="009033F6"/>
    <w:rsid w:val="00912A20"/>
    <w:rsid w:val="00912DC9"/>
    <w:rsid w:val="0091332F"/>
    <w:rsid w:val="009155F1"/>
    <w:rsid w:val="00915BE3"/>
    <w:rsid w:val="00916477"/>
    <w:rsid w:val="00917DEC"/>
    <w:rsid w:val="00921491"/>
    <w:rsid w:val="00921DDE"/>
    <w:rsid w:val="00926BC2"/>
    <w:rsid w:val="00927A60"/>
    <w:rsid w:val="0093638F"/>
    <w:rsid w:val="0093763A"/>
    <w:rsid w:val="0094764D"/>
    <w:rsid w:val="009524AD"/>
    <w:rsid w:val="00956347"/>
    <w:rsid w:val="00960CDE"/>
    <w:rsid w:val="009664FA"/>
    <w:rsid w:val="00967227"/>
    <w:rsid w:val="0097086B"/>
    <w:rsid w:val="009738BB"/>
    <w:rsid w:val="00973C3B"/>
    <w:rsid w:val="009766D0"/>
    <w:rsid w:val="00976FE5"/>
    <w:rsid w:val="00980F51"/>
    <w:rsid w:val="00985A1D"/>
    <w:rsid w:val="00990019"/>
    <w:rsid w:val="00990D2C"/>
    <w:rsid w:val="009910E0"/>
    <w:rsid w:val="00996FDF"/>
    <w:rsid w:val="009A0187"/>
    <w:rsid w:val="009A02E1"/>
    <w:rsid w:val="009A1653"/>
    <w:rsid w:val="009A1E1C"/>
    <w:rsid w:val="009A32AD"/>
    <w:rsid w:val="009A5EF1"/>
    <w:rsid w:val="009A64F7"/>
    <w:rsid w:val="009B22F4"/>
    <w:rsid w:val="009B2A6C"/>
    <w:rsid w:val="009B4A36"/>
    <w:rsid w:val="009B5A24"/>
    <w:rsid w:val="009C1D4B"/>
    <w:rsid w:val="009C2C1B"/>
    <w:rsid w:val="009C3A67"/>
    <w:rsid w:val="009C7E52"/>
    <w:rsid w:val="009E2427"/>
    <w:rsid w:val="009E5E7E"/>
    <w:rsid w:val="009F58F7"/>
    <w:rsid w:val="009F5F02"/>
    <w:rsid w:val="00A02A70"/>
    <w:rsid w:val="00A06C29"/>
    <w:rsid w:val="00A17D4A"/>
    <w:rsid w:val="00A20261"/>
    <w:rsid w:val="00A21512"/>
    <w:rsid w:val="00A222E9"/>
    <w:rsid w:val="00A24ACE"/>
    <w:rsid w:val="00A2718E"/>
    <w:rsid w:val="00A309A9"/>
    <w:rsid w:val="00A3195B"/>
    <w:rsid w:val="00A34190"/>
    <w:rsid w:val="00A35A09"/>
    <w:rsid w:val="00A37EC5"/>
    <w:rsid w:val="00A43CD5"/>
    <w:rsid w:val="00A44388"/>
    <w:rsid w:val="00A46682"/>
    <w:rsid w:val="00A47354"/>
    <w:rsid w:val="00A5051D"/>
    <w:rsid w:val="00A52A4A"/>
    <w:rsid w:val="00A54C7F"/>
    <w:rsid w:val="00A572E6"/>
    <w:rsid w:val="00A57F5E"/>
    <w:rsid w:val="00A728AD"/>
    <w:rsid w:val="00A743A7"/>
    <w:rsid w:val="00A74409"/>
    <w:rsid w:val="00A772D2"/>
    <w:rsid w:val="00A77509"/>
    <w:rsid w:val="00A77C95"/>
    <w:rsid w:val="00A81817"/>
    <w:rsid w:val="00A850E2"/>
    <w:rsid w:val="00A865D4"/>
    <w:rsid w:val="00A91497"/>
    <w:rsid w:val="00A97ACB"/>
    <w:rsid w:val="00AA0758"/>
    <w:rsid w:val="00AA7C75"/>
    <w:rsid w:val="00AB325C"/>
    <w:rsid w:val="00AB5DBC"/>
    <w:rsid w:val="00AB7511"/>
    <w:rsid w:val="00AC4C43"/>
    <w:rsid w:val="00AC7C04"/>
    <w:rsid w:val="00AD00F2"/>
    <w:rsid w:val="00AD5D4B"/>
    <w:rsid w:val="00AD6FE7"/>
    <w:rsid w:val="00AE3F04"/>
    <w:rsid w:val="00AF7EF7"/>
    <w:rsid w:val="00B020C8"/>
    <w:rsid w:val="00B03E8D"/>
    <w:rsid w:val="00B06A1B"/>
    <w:rsid w:val="00B2032F"/>
    <w:rsid w:val="00B23EE7"/>
    <w:rsid w:val="00B2519F"/>
    <w:rsid w:val="00B26164"/>
    <w:rsid w:val="00B37083"/>
    <w:rsid w:val="00B373A5"/>
    <w:rsid w:val="00B41046"/>
    <w:rsid w:val="00B427FD"/>
    <w:rsid w:val="00B44C6B"/>
    <w:rsid w:val="00B47F37"/>
    <w:rsid w:val="00B50BD2"/>
    <w:rsid w:val="00B53C18"/>
    <w:rsid w:val="00B55B46"/>
    <w:rsid w:val="00B70027"/>
    <w:rsid w:val="00B73C0C"/>
    <w:rsid w:val="00B87177"/>
    <w:rsid w:val="00B8718C"/>
    <w:rsid w:val="00B90116"/>
    <w:rsid w:val="00B90F95"/>
    <w:rsid w:val="00B9111B"/>
    <w:rsid w:val="00BA10D2"/>
    <w:rsid w:val="00BA2759"/>
    <w:rsid w:val="00BB0084"/>
    <w:rsid w:val="00BB6C1F"/>
    <w:rsid w:val="00BB7070"/>
    <w:rsid w:val="00BD3A8F"/>
    <w:rsid w:val="00BD4666"/>
    <w:rsid w:val="00BD5679"/>
    <w:rsid w:val="00BE246B"/>
    <w:rsid w:val="00BE35CC"/>
    <w:rsid w:val="00BE722E"/>
    <w:rsid w:val="00BF752A"/>
    <w:rsid w:val="00C003CB"/>
    <w:rsid w:val="00C01AF9"/>
    <w:rsid w:val="00C02242"/>
    <w:rsid w:val="00C10A49"/>
    <w:rsid w:val="00C119C9"/>
    <w:rsid w:val="00C13544"/>
    <w:rsid w:val="00C161B1"/>
    <w:rsid w:val="00C279FE"/>
    <w:rsid w:val="00C337FC"/>
    <w:rsid w:val="00C35038"/>
    <w:rsid w:val="00C419F9"/>
    <w:rsid w:val="00C421C2"/>
    <w:rsid w:val="00C449E6"/>
    <w:rsid w:val="00C45CAA"/>
    <w:rsid w:val="00C51856"/>
    <w:rsid w:val="00C52946"/>
    <w:rsid w:val="00C5646B"/>
    <w:rsid w:val="00C6010C"/>
    <w:rsid w:val="00C60301"/>
    <w:rsid w:val="00C61A10"/>
    <w:rsid w:val="00C62585"/>
    <w:rsid w:val="00C732B0"/>
    <w:rsid w:val="00C8161A"/>
    <w:rsid w:val="00C823D4"/>
    <w:rsid w:val="00C85C57"/>
    <w:rsid w:val="00C85CE3"/>
    <w:rsid w:val="00C877B2"/>
    <w:rsid w:val="00C92F40"/>
    <w:rsid w:val="00C93355"/>
    <w:rsid w:val="00CB2608"/>
    <w:rsid w:val="00CB56C1"/>
    <w:rsid w:val="00CB6220"/>
    <w:rsid w:val="00CC14DF"/>
    <w:rsid w:val="00CC18F2"/>
    <w:rsid w:val="00CC5763"/>
    <w:rsid w:val="00CC62FC"/>
    <w:rsid w:val="00CC75E3"/>
    <w:rsid w:val="00CC7FFA"/>
    <w:rsid w:val="00CD4CF4"/>
    <w:rsid w:val="00CE13F5"/>
    <w:rsid w:val="00CE1A4F"/>
    <w:rsid w:val="00CE3421"/>
    <w:rsid w:val="00CE4537"/>
    <w:rsid w:val="00CE4BD8"/>
    <w:rsid w:val="00CE4F1D"/>
    <w:rsid w:val="00CE53B5"/>
    <w:rsid w:val="00D04C82"/>
    <w:rsid w:val="00D05082"/>
    <w:rsid w:val="00D057E6"/>
    <w:rsid w:val="00D063C0"/>
    <w:rsid w:val="00D11BF0"/>
    <w:rsid w:val="00D16C17"/>
    <w:rsid w:val="00D2356F"/>
    <w:rsid w:val="00D256A0"/>
    <w:rsid w:val="00D25C8D"/>
    <w:rsid w:val="00D30697"/>
    <w:rsid w:val="00D31FD3"/>
    <w:rsid w:val="00D355E2"/>
    <w:rsid w:val="00D37777"/>
    <w:rsid w:val="00D4261A"/>
    <w:rsid w:val="00D43C8E"/>
    <w:rsid w:val="00D4792C"/>
    <w:rsid w:val="00D55FF1"/>
    <w:rsid w:val="00D62DD8"/>
    <w:rsid w:val="00D63E83"/>
    <w:rsid w:val="00D64D3F"/>
    <w:rsid w:val="00D66AAF"/>
    <w:rsid w:val="00D67A21"/>
    <w:rsid w:val="00D864D4"/>
    <w:rsid w:val="00D8788F"/>
    <w:rsid w:val="00D91246"/>
    <w:rsid w:val="00D94459"/>
    <w:rsid w:val="00D96A8B"/>
    <w:rsid w:val="00DA0E2C"/>
    <w:rsid w:val="00DA1280"/>
    <w:rsid w:val="00DA302E"/>
    <w:rsid w:val="00DA326E"/>
    <w:rsid w:val="00DA4146"/>
    <w:rsid w:val="00DA45B1"/>
    <w:rsid w:val="00DA4D6A"/>
    <w:rsid w:val="00DA5ABE"/>
    <w:rsid w:val="00DB4F9C"/>
    <w:rsid w:val="00DB6A3A"/>
    <w:rsid w:val="00DC3A7F"/>
    <w:rsid w:val="00DC4694"/>
    <w:rsid w:val="00DC6CBC"/>
    <w:rsid w:val="00DC70B0"/>
    <w:rsid w:val="00DC74B2"/>
    <w:rsid w:val="00DD1F5D"/>
    <w:rsid w:val="00DD2DB8"/>
    <w:rsid w:val="00DD4CC9"/>
    <w:rsid w:val="00DD7198"/>
    <w:rsid w:val="00DE6145"/>
    <w:rsid w:val="00DE6759"/>
    <w:rsid w:val="00DF42F9"/>
    <w:rsid w:val="00E0329B"/>
    <w:rsid w:val="00E0476C"/>
    <w:rsid w:val="00E04A62"/>
    <w:rsid w:val="00E105A5"/>
    <w:rsid w:val="00E174BF"/>
    <w:rsid w:val="00E26968"/>
    <w:rsid w:val="00E31608"/>
    <w:rsid w:val="00E37617"/>
    <w:rsid w:val="00E379B2"/>
    <w:rsid w:val="00E40FDA"/>
    <w:rsid w:val="00E45CCE"/>
    <w:rsid w:val="00E52706"/>
    <w:rsid w:val="00E55454"/>
    <w:rsid w:val="00E579A5"/>
    <w:rsid w:val="00E6043E"/>
    <w:rsid w:val="00E60EE2"/>
    <w:rsid w:val="00E65D79"/>
    <w:rsid w:val="00E66BAE"/>
    <w:rsid w:val="00E6711D"/>
    <w:rsid w:val="00E7233A"/>
    <w:rsid w:val="00E742FC"/>
    <w:rsid w:val="00E80E0D"/>
    <w:rsid w:val="00E819DA"/>
    <w:rsid w:val="00E85451"/>
    <w:rsid w:val="00E90F88"/>
    <w:rsid w:val="00E92BE9"/>
    <w:rsid w:val="00EA2449"/>
    <w:rsid w:val="00EA30B2"/>
    <w:rsid w:val="00EA4B27"/>
    <w:rsid w:val="00EA7A16"/>
    <w:rsid w:val="00EB248B"/>
    <w:rsid w:val="00EB444D"/>
    <w:rsid w:val="00EC28C3"/>
    <w:rsid w:val="00EC5560"/>
    <w:rsid w:val="00EC6123"/>
    <w:rsid w:val="00ED1F35"/>
    <w:rsid w:val="00ED265C"/>
    <w:rsid w:val="00EE1143"/>
    <w:rsid w:val="00EE2215"/>
    <w:rsid w:val="00EE5C1F"/>
    <w:rsid w:val="00EE7862"/>
    <w:rsid w:val="00EE7EC4"/>
    <w:rsid w:val="00EF051F"/>
    <w:rsid w:val="00EF1896"/>
    <w:rsid w:val="00EF494D"/>
    <w:rsid w:val="00EF73BD"/>
    <w:rsid w:val="00F06AAD"/>
    <w:rsid w:val="00F07145"/>
    <w:rsid w:val="00F07F9C"/>
    <w:rsid w:val="00F1064D"/>
    <w:rsid w:val="00F11B2C"/>
    <w:rsid w:val="00F1381C"/>
    <w:rsid w:val="00F16FFF"/>
    <w:rsid w:val="00F174D2"/>
    <w:rsid w:val="00F21C77"/>
    <w:rsid w:val="00F24589"/>
    <w:rsid w:val="00F257FC"/>
    <w:rsid w:val="00F27D5F"/>
    <w:rsid w:val="00F27FA4"/>
    <w:rsid w:val="00F32AA9"/>
    <w:rsid w:val="00F3771D"/>
    <w:rsid w:val="00F4238C"/>
    <w:rsid w:val="00F43AB5"/>
    <w:rsid w:val="00F44AC4"/>
    <w:rsid w:val="00F46CE9"/>
    <w:rsid w:val="00F511DF"/>
    <w:rsid w:val="00F52247"/>
    <w:rsid w:val="00F7053B"/>
    <w:rsid w:val="00F72EE9"/>
    <w:rsid w:val="00F733B5"/>
    <w:rsid w:val="00F8036D"/>
    <w:rsid w:val="00F82297"/>
    <w:rsid w:val="00F83779"/>
    <w:rsid w:val="00F86701"/>
    <w:rsid w:val="00F91336"/>
    <w:rsid w:val="00F958A7"/>
    <w:rsid w:val="00F96485"/>
    <w:rsid w:val="00F969B7"/>
    <w:rsid w:val="00FA191D"/>
    <w:rsid w:val="00FB0E36"/>
    <w:rsid w:val="00FB1D6E"/>
    <w:rsid w:val="00FB2C64"/>
    <w:rsid w:val="00FB3BF0"/>
    <w:rsid w:val="00FB7494"/>
    <w:rsid w:val="00FB7F0A"/>
    <w:rsid w:val="00FC350B"/>
    <w:rsid w:val="00FD01BB"/>
    <w:rsid w:val="00FD70A7"/>
    <w:rsid w:val="00FE0464"/>
    <w:rsid w:val="00FE1BB5"/>
    <w:rsid w:val="00FE5B4F"/>
    <w:rsid w:val="00FE6D4C"/>
    <w:rsid w:val="00FF1A61"/>
    <w:rsid w:val="00FF47D2"/>
    <w:rsid w:val="00FF5760"/>
    <w:rsid w:val="0158732D"/>
    <w:rsid w:val="0258A078"/>
    <w:rsid w:val="02C53CE6"/>
    <w:rsid w:val="02DA180C"/>
    <w:rsid w:val="03373B02"/>
    <w:rsid w:val="0339B2F9"/>
    <w:rsid w:val="06987561"/>
    <w:rsid w:val="07D89131"/>
    <w:rsid w:val="086FE8DB"/>
    <w:rsid w:val="0A598AB6"/>
    <w:rsid w:val="0B375D24"/>
    <w:rsid w:val="0D857962"/>
    <w:rsid w:val="0EA0F930"/>
    <w:rsid w:val="0EC1470D"/>
    <w:rsid w:val="1037FECF"/>
    <w:rsid w:val="140C9071"/>
    <w:rsid w:val="146C02F7"/>
    <w:rsid w:val="15F5E9E4"/>
    <w:rsid w:val="17B0B5D5"/>
    <w:rsid w:val="18BCEC47"/>
    <w:rsid w:val="1962A4EF"/>
    <w:rsid w:val="1A5CC9AE"/>
    <w:rsid w:val="1D6ACD49"/>
    <w:rsid w:val="1DD1E14F"/>
    <w:rsid w:val="22AE10A8"/>
    <w:rsid w:val="24CA1EE3"/>
    <w:rsid w:val="2523C8DE"/>
    <w:rsid w:val="2636DE8F"/>
    <w:rsid w:val="26EA7237"/>
    <w:rsid w:val="274D82D7"/>
    <w:rsid w:val="2862D724"/>
    <w:rsid w:val="29685AEC"/>
    <w:rsid w:val="2AFE0F9E"/>
    <w:rsid w:val="2E3FAD02"/>
    <w:rsid w:val="3212E58C"/>
    <w:rsid w:val="3454F9EB"/>
    <w:rsid w:val="3CFD8D23"/>
    <w:rsid w:val="3D2D4F4B"/>
    <w:rsid w:val="4131F3C7"/>
    <w:rsid w:val="413C2059"/>
    <w:rsid w:val="417A9AA5"/>
    <w:rsid w:val="43129997"/>
    <w:rsid w:val="45D03D4A"/>
    <w:rsid w:val="491773F7"/>
    <w:rsid w:val="4CF8E8CD"/>
    <w:rsid w:val="4DABE20C"/>
    <w:rsid w:val="4E3A14AA"/>
    <w:rsid w:val="50E280A3"/>
    <w:rsid w:val="51571C57"/>
    <w:rsid w:val="52DC0C9A"/>
    <w:rsid w:val="56B6E02B"/>
    <w:rsid w:val="5C3559FB"/>
    <w:rsid w:val="5C9156A1"/>
    <w:rsid w:val="5CD5C6B0"/>
    <w:rsid w:val="5DDABB5C"/>
    <w:rsid w:val="5F4620F9"/>
    <w:rsid w:val="616678E5"/>
    <w:rsid w:val="622C0BCC"/>
    <w:rsid w:val="64E3694B"/>
    <w:rsid w:val="650B22B8"/>
    <w:rsid w:val="687507F5"/>
    <w:rsid w:val="6ADB3019"/>
    <w:rsid w:val="6CBDEEC9"/>
    <w:rsid w:val="6D7E7D2F"/>
    <w:rsid w:val="6EFD25CD"/>
    <w:rsid w:val="74864547"/>
    <w:rsid w:val="7721991D"/>
    <w:rsid w:val="77610E98"/>
    <w:rsid w:val="7AAB5B0F"/>
    <w:rsid w:val="7BFB954F"/>
    <w:rsid w:val="7C2E49D0"/>
    <w:rsid w:val="7DA1FAAB"/>
    <w:rsid w:val="7E90A9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D4DDECBF-C232-4568-B867-127954B4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444310"/>
    <w:pPr>
      <w:spacing w:before="200" w:after="20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967227"/>
    <w:pPr>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444310"/>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967227"/>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D4792C"/>
    <w:pPr>
      <w:tabs>
        <w:tab w:val="right" w:leader="dot" w:pos="8779"/>
      </w:tabs>
      <w:spacing w:after="160"/>
    </w:pPr>
    <w:rPr>
      <w:rFonts w:ascii="Arial" w:hAnsi="Arial" w:cs="Arial"/>
      <w:b/>
      <w:bCs/>
      <w:noProof/>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3"/>
      </w:numPr>
      <w:tabs>
        <w:tab w:val="left" w:pos="709"/>
      </w:tabs>
      <w:spacing w:line="240" w:lineRule="auto"/>
      <w:ind w:left="709" w:hanging="425"/>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710B7E"/>
    <w:rPr>
      <w:sz w:val="16"/>
      <w:szCs w:val="16"/>
    </w:rPr>
  </w:style>
  <w:style w:type="paragraph" w:styleId="CommentText">
    <w:name w:val="annotation text"/>
    <w:basedOn w:val="Normal"/>
    <w:link w:val="CommentTextChar"/>
    <w:uiPriority w:val="99"/>
    <w:unhideWhenUsed/>
    <w:rsid w:val="00710B7E"/>
    <w:rPr>
      <w:sz w:val="20"/>
      <w:szCs w:val="20"/>
    </w:rPr>
  </w:style>
  <w:style w:type="character" w:customStyle="1" w:styleId="CommentTextChar">
    <w:name w:val="Comment Text Char"/>
    <w:basedOn w:val="DefaultParagraphFont"/>
    <w:link w:val="CommentText"/>
    <w:uiPriority w:val="99"/>
    <w:rsid w:val="00710B7E"/>
    <w:rPr>
      <w:lang w:eastAsia="en-US"/>
    </w:rPr>
  </w:style>
  <w:style w:type="character" w:styleId="Mention">
    <w:name w:val="Mention"/>
    <w:basedOn w:val="DefaultParagraphFont"/>
    <w:uiPriority w:val="99"/>
    <w:unhideWhenUsed/>
    <w:rsid w:val="00710B7E"/>
    <w:rPr>
      <w:color w:val="2B579A"/>
      <w:shd w:val="clear" w:color="auto" w:fill="E1DFDD"/>
    </w:rPr>
  </w:style>
  <w:style w:type="character" w:styleId="FollowedHyperlink">
    <w:name w:val="FollowedHyperlink"/>
    <w:basedOn w:val="DefaultParagraphFont"/>
    <w:uiPriority w:val="99"/>
    <w:semiHidden/>
    <w:unhideWhenUsed/>
    <w:rsid w:val="008E0E1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534C"/>
    <w:rPr>
      <w:b/>
      <w:bCs/>
    </w:rPr>
  </w:style>
  <w:style w:type="character" w:customStyle="1" w:styleId="CommentSubjectChar">
    <w:name w:val="Comment Subject Char"/>
    <w:basedOn w:val="CommentTextChar"/>
    <w:link w:val="CommentSubject"/>
    <w:uiPriority w:val="99"/>
    <w:semiHidden/>
    <w:rsid w:val="002B534C"/>
    <w:rPr>
      <w:b/>
      <w:bCs/>
      <w:lang w:eastAsia="en-US"/>
    </w:rPr>
  </w:style>
  <w:style w:type="paragraph" w:styleId="Revision">
    <w:name w:val="Revision"/>
    <w:hidden/>
    <w:uiPriority w:val="99"/>
    <w:semiHidden/>
    <w:rsid w:val="00CD4C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hyperlink" Target="http://www.facebook.com/CydaAu" TargetMode="External"/><Relationship Id="rId2" Type="http://schemas.openxmlformats.org/officeDocument/2006/relationships/customXml" Target="../customXml/item2.xml"/><Relationship Id="rId16" Type="http://schemas.openxmlformats.org/officeDocument/2006/relationships/hyperlink" Target="mailto:skye@cyda.org.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yda.org.au/cydas-submission-to-the-jobs-and-skills-australia-workplan-2025-26/"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cyda.org.au/australias-disabled-youth-are-in-crisis/"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adcet.edu.au/resource/10814/file/1/Universal%20Design%20for%20Learning%20in%20Tertiary%20Education%20A%20Scoping%20Review%20and%20Recommendations%20for%20Implementation%20in%20Australia.pdf" TargetMode="External"/><Relationship Id="rId13" Type="http://schemas.openxmlformats.org/officeDocument/2006/relationships/hyperlink" Target="https://www.disabilitygateway.gov.au/sites/default/files/documents/2025-01/5831-dss3513-ads-strategy-2021.pdf" TargetMode="External"/><Relationship Id="rId3" Type="http://schemas.openxmlformats.org/officeDocument/2006/relationships/hyperlink" Target="https://www.qilt.edu.au/surveys/student-experience-survey-(ses)" TargetMode="External"/><Relationship Id="rId7" Type="http://schemas.openxmlformats.org/officeDocument/2006/relationships/hyperlink" Target="https://www.ncsehe.edu.au/app/uploads/2022/03/Pitman_Curtin_EquityFellowship_FINAL.pdf" TargetMode="External"/><Relationship Id="rId12" Type="http://schemas.openxmlformats.org/officeDocument/2006/relationships/hyperlink" Target="https://nds.org.au/images/resources/CustomisedEmployment.pdf" TargetMode="External"/><Relationship Id="rId2" Type="http://schemas.openxmlformats.org/officeDocument/2006/relationships/hyperlink" Target="https://www.aihw.gov.au/australias-disability-strategy/outcomes/education-and-learning" TargetMode="External"/><Relationship Id="rId1" Type="http://schemas.openxmlformats.org/officeDocument/2006/relationships/hyperlink" Target="https://www.aihw.gov.au/reports/disability/people-with-disability-in-australia/contents/education-and-skills/educational-attainment" TargetMode="External"/><Relationship Id="rId6" Type="http://schemas.openxmlformats.org/officeDocument/2006/relationships/hyperlink" Target="https://www.compared.edu.au/browse-institutions" TargetMode="External"/><Relationship Id="rId11" Type="http://schemas.openxmlformats.org/officeDocument/2006/relationships/hyperlink" Target="https://www.ncsehe.edu.au/app/uploads/2016/05/The-Role-of-Inherent-Requirement-Statements-in-Australian-Universities.pdf" TargetMode="External"/><Relationship Id="rId5" Type="http://schemas.openxmlformats.org/officeDocument/2006/relationships/hyperlink" Target="https://cyda.org.au/wp-content/uploads/2023/08/Tertiary_Education_and_Learning.pdf" TargetMode="External"/><Relationship Id="rId15" Type="http://schemas.openxmlformats.org/officeDocument/2006/relationships/hyperlink" Target="https://www.disabilitygateway.gov.au/sites/default/files/documents/2025-01/5831-dss3513-ads-strategy-2021.pdf" TargetMode="External"/><Relationship Id="rId10" Type="http://schemas.openxmlformats.org/officeDocument/2006/relationships/hyperlink" Target="https://cyda.org.au/wp-content/uploads/2023/08/Tertiary_Education_and_Learning.pdf" TargetMode="External"/><Relationship Id="rId4" Type="http://schemas.openxmlformats.org/officeDocument/2006/relationships/hyperlink" Target="https://www.qilt.edu.au/surveys/student-experience-survey-(ses)" TargetMode="External"/><Relationship Id="rId9" Type="http://schemas.openxmlformats.org/officeDocument/2006/relationships/hyperlink" Target="https://www.adcet.edu.au/resource/11654/file/1/Ableism%20in%20the%20Universities%20Accord_Joint%20Submission_Final.pdf" TargetMode="External"/><Relationship Id="rId14" Type="http://schemas.openxmlformats.org/officeDocument/2006/relationships/hyperlink" Target="https://cyda.org.au/wp-content/uploads/2023/08/Tertiary_Education_and_Learn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4463c61db8639333065d88679dd8d4d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cf89fbc87516244c30f648df12f1088c"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415F-2E05-4B78-AB3D-845139C13DEF}">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f56cdae6-9e9c-4c3b-9d76-31558cb6e5c5"/>
    <ds:schemaRef ds:uri="http://purl.org/dc/terms/"/>
    <ds:schemaRef ds:uri="1687197d-ab52-43d2-b631-1ce3da201b2b"/>
    <ds:schemaRef ds:uri="http://schemas.openxmlformats.org/package/2006/metadata/core-properties"/>
  </ds:schemaRefs>
</ds:datastoreItem>
</file>

<file path=customXml/itemProps2.xml><?xml version="1.0" encoding="utf-8"?>
<ds:datastoreItem xmlns:ds="http://schemas.openxmlformats.org/officeDocument/2006/customXml" ds:itemID="{708CC364-3BB1-44F4-BC1E-37359F2038D1}">
  <ds:schemaRefs>
    <ds:schemaRef ds:uri="http://schemas.microsoft.com/sharepoint/v3/contenttype/forms"/>
  </ds:schemaRefs>
</ds:datastoreItem>
</file>

<file path=customXml/itemProps3.xml><?xml version="1.0" encoding="utf-8"?>
<ds:datastoreItem xmlns:ds="http://schemas.openxmlformats.org/officeDocument/2006/customXml" ds:itemID="{CE8F04C5-D1BC-4B3C-A35F-8758A0F8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Lauren Riessen</cp:lastModifiedBy>
  <cp:revision>111</cp:revision>
  <cp:lastPrinted>2025-10-16T23:49:00Z</cp:lastPrinted>
  <dcterms:created xsi:type="dcterms:W3CDTF">2025-10-13T00:55:00Z</dcterms:created>
  <dcterms:modified xsi:type="dcterms:W3CDTF">2025-10-16T23:49:00Z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